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EC" w:rsidRPr="002F24EC" w:rsidRDefault="00C37D2F" w:rsidP="002F24EC">
      <w:pPr>
        <w:rPr>
          <w:b/>
          <w:sz w:val="28"/>
        </w:rPr>
      </w:pPr>
      <w:r>
        <w:rPr>
          <w:b/>
          <w:sz w:val="28"/>
        </w:rPr>
        <w:t>Die Deutsche Gebärdensprache</w:t>
      </w:r>
      <w:r w:rsidR="002F24EC" w:rsidRPr="002F24EC">
        <w:rPr>
          <w:b/>
          <w:sz w:val="28"/>
        </w:rPr>
        <w:t xml:space="preserve"> in Schulen für </w:t>
      </w:r>
      <w:r w:rsidR="002F24EC">
        <w:rPr>
          <w:b/>
          <w:sz w:val="28"/>
        </w:rPr>
        <w:t>Gehörlose und Schwerhörige</w:t>
      </w:r>
      <w:r w:rsidR="002F24EC" w:rsidRPr="002F24EC">
        <w:rPr>
          <w:b/>
          <w:sz w:val="28"/>
        </w:rPr>
        <w:t xml:space="preserve"> in Nordrhein-Westfalen </w:t>
      </w:r>
    </w:p>
    <w:p w:rsidR="002F24EC" w:rsidRDefault="002F24EC" w:rsidP="002F24EC">
      <w:pPr>
        <w:rPr>
          <w:b/>
          <w:sz w:val="24"/>
        </w:rPr>
      </w:pPr>
      <w:bookmarkStart w:id="0" w:name="_GoBack"/>
      <w:bookmarkEnd w:id="0"/>
    </w:p>
    <w:p w:rsidR="002F24EC" w:rsidRPr="009B7F60" w:rsidRDefault="002F24EC" w:rsidP="002F24EC">
      <w:pPr>
        <w:rPr>
          <w:b/>
          <w:sz w:val="24"/>
        </w:rPr>
      </w:pPr>
      <w:r w:rsidRPr="009B7F60">
        <w:rPr>
          <w:b/>
          <w:sz w:val="24"/>
        </w:rPr>
        <w:t>Einführung</w:t>
      </w:r>
    </w:p>
    <w:p w:rsidR="002F24EC" w:rsidRPr="002F24EC" w:rsidRDefault="002F24EC" w:rsidP="002F24EC">
      <w:pPr>
        <w:rPr>
          <w:sz w:val="24"/>
        </w:rPr>
      </w:pPr>
      <w:r w:rsidRPr="002F24EC">
        <w:rPr>
          <w:sz w:val="24"/>
        </w:rPr>
        <w:t xml:space="preserve">Am 06.04.2018 veröffentlichte JuraForum.de einen Eilbeschluss des </w:t>
      </w:r>
      <w:r w:rsidRPr="002F24EC">
        <w:rPr>
          <w:rStyle w:val="Fett"/>
          <w:b w:val="0"/>
        </w:rPr>
        <w:t xml:space="preserve">Sächsischen Landessozialgerichts (LSG) in Chemnitz, der beschreibt, dass die Kosten für Gebärdensprachdolmetscher von der Sozialhilfe übernommen werden müssen, sollte es in Förderschulen nicht möglich sein, Schülerinnen und Schüler mit Hörbehinderung eine „behindertengerechte Beschulung“ gewährleisten zu können. </w:t>
      </w:r>
    </w:p>
    <w:p w:rsidR="002F24EC" w:rsidRPr="002F24EC" w:rsidRDefault="002F24EC" w:rsidP="002F24EC">
      <w:pPr>
        <w:rPr>
          <w:rStyle w:val="Fett"/>
          <w:b w:val="0"/>
        </w:rPr>
      </w:pPr>
      <w:r w:rsidRPr="002F24EC">
        <w:rPr>
          <w:rStyle w:val="Fett"/>
          <w:b w:val="0"/>
        </w:rPr>
        <w:t xml:space="preserve">Anlass zu diesem Beschluss war der Fall einer 17-jährigen Schülerin, die für ihren Schulbesuch in der Schule für Hörgeschädigte Übernahme der Kosten für Gebärdensprachdolmetscher beim zuständigen Sozialhilfeträger beantragte und auf Ablehnung </w:t>
      </w:r>
      <w:proofErr w:type="spellStart"/>
      <w:r w:rsidRPr="002F24EC">
        <w:rPr>
          <w:rStyle w:val="Fett"/>
          <w:b w:val="0"/>
        </w:rPr>
        <w:t>sties</w:t>
      </w:r>
      <w:proofErr w:type="spellEnd"/>
      <w:r w:rsidRPr="002F24EC">
        <w:rPr>
          <w:rStyle w:val="Fett"/>
          <w:b w:val="0"/>
        </w:rPr>
        <w:t>, da die Förderschule für eine „behindertengerechte“ Wissensvermittlung zuständig sei. Doch auch dort war es ihr nicht möglich den Unterricht aufgrund mangelnder Gebärdensprachkenntnisse der Förderschullehrerinnen und –</w:t>
      </w:r>
      <w:proofErr w:type="spellStart"/>
      <w:r w:rsidRPr="002F24EC">
        <w:rPr>
          <w:rStyle w:val="Fett"/>
          <w:b w:val="0"/>
        </w:rPr>
        <w:t>lehrern</w:t>
      </w:r>
      <w:proofErr w:type="spellEnd"/>
      <w:r w:rsidRPr="002F24EC">
        <w:rPr>
          <w:rStyle w:val="Fett"/>
          <w:b w:val="0"/>
        </w:rPr>
        <w:t xml:space="preserve"> zu folgen. </w:t>
      </w:r>
    </w:p>
    <w:p w:rsidR="002F24EC" w:rsidRPr="002F24EC" w:rsidRDefault="002F24EC" w:rsidP="002F24EC">
      <w:pPr>
        <w:rPr>
          <w:rStyle w:val="Fett"/>
          <w:b w:val="0"/>
        </w:rPr>
      </w:pPr>
      <w:r w:rsidRPr="002F24EC">
        <w:rPr>
          <w:rStyle w:val="Fett"/>
          <w:b w:val="0"/>
        </w:rPr>
        <w:t xml:space="preserve">Insbesondere in sozialen Medien wurde dieses Thema bereits 2010 diskutiert.  Ausgelöst wurde die Kontroverse als die Schülerinnen und Schüler der Rheinisch-Westfälischen Berufskolleg für Hörgeschädigte (RWB) in Essen einen Gebärdenfilm in YouTube posteten. Sie machten sich auf die unzureichenden Gebärdensprachkenntnisse der Lehrerinnen und Lehrern in der Kollegstufe aufmerksam. </w:t>
      </w:r>
    </w:p>
    <w:p w:rsidR="002F24EC" w:rsidRPr="002F24EC" w:rsidRDefault="002F24EC" w:rsidP="002F24EC">
      <w:pPr>
        <w:rPr>
          <w:rStyle w:val="Fett"/>
          <w:b w:val="0"/>
        </w:rPr>
      </w:pPr>
      <w:r w:rsidRPr="002F24EC">
        <w:rPr>
          <w:rStyle w:val="Fett"/>
          <w:b w:val="0"/>
        </w:rPr>
        <w:t xml:space="preserve">Wie ist der tatsächliche Sachstand von Gebärdensprachkenntnissen an Förderschulen für Hörgeschädigte in Nordrhein-Westfalen? Im nächsten Abschnitt werden die zusammengefasste Ergebnisse vorgestellt. </w:t>
      </w:r>
    </w:p>
    <w:p w:rsidR="002F24EC" w:rsidRPr="009B7F60" w:rsidRDefault="002F24EC" w:rsidP="002F24EC">
      <w:pPr>
        <w:rPr>
          <w:rStyle w:val="Fett"/>
          <w:b w:val="0"/>
          <w:i/>
          <w:sz w:val="20"/>
        </w:rPr>
      </w:pPr>
      <w:proofErr w:type="spellStart"/>
      <w:r w:rsidRPr="009B7F60">
        <w:rPr>
          <w:rStyle w:val="Fett"/>
          <w:i/>
          <w:sz w:val="20"/>
        </w:rPr>
        <w:t>JuraForum</w:t>
      </w:r>
      <w:proofErr w:type="spellEnd"/>
      <w:r w:rsidRPr="009B7F60">
        <w:rPr>
          <w:rStyle w:val="Fett"/>
          <w:i/>
          <w:sz w:val="20"/>
        </w:rPr>
        <w:t xml:space="preserve"> (ohne Jahr): Lehrer an Schule für Hörgeschädigte beherrschen keine Gebärdensprache. Abrufbar unter: </w:t>
      </w:r>
      <w:hyperlink r:id="rId8" w:history="1">
        <w:r w:rsidRPr="009B7F60">
          <w:rPr>
            <w:rStyle w:val="Hyperlink"/>
            <w:i/>
            <w:sz w:val="20"/>
          </w:rPr>
          <w:t>https://www.juraforum.de/recht-gesetz/lehrer-an-schule-fuer-hoergeschaedigte-beherrschen-keine-gebaerdensprache-620733</w:t>
        </w:r>
      </w:hyperlink>
    </w:p>
    <w:p w:rsidR="002F24EC" w:rsidRPr="009B7F60" w:rsidRDefault="002F24EC" w:rsidP="002F24EC">
      <w:pPr>
        <w:rPr>
          <w:rStyle w:val="Fett"/>
          <w:b w:val="0"/>
          <w:i/>
          <w:sz w:val="20"/>
        </w:rPr>
      </w:pPr>
      <w:r w:rsidRPr="009B7F60">
        <w:rPr>
          <w:rStyle w:val="Fett"/>
          <w:i/>
          <w:sz w:val="20"/>
        </w:rPr>
        <w:t xml:space="preserve">YouTube (ohne Jahr): Abitur in Essen (2010). Abrufbar unter: </w:t>
      </w:r>
      <w:hyperlink r:id="rId9" w:history="1">
        <w:r w:rsidRPr="009B7F60">
          <w:rPr>
            <w:rStyle w:val="Hyperlink"/>
            <w:i/>
            <w:sz w:val="20"/>
          </w:rPr>
          <w:t>https://www.youtube.com/watch?v=tCvhtGXrj4Q</w:t>
        </w:r>
      </w:hyperlink>
    </w:p>
    <w:p w:rsidR="002F24EC" w:rsidRDefault="002F24EC" w:rsidP="002F24EC">
      <w:pPr>
        <w:rPr>
          <w:rStyle w:val="Fett"/>
        </w:rPr>
      </w:pPr>
    </w:p>
    <w:p w:rsidR="002F24EC" w:rsidRPr="00C65153" w:rsidRDefault="002F24EC" w:rsidP="002F24EC">
      <w:pPr>
        <w:rPr>
          <w:b/>
          <w:sz w:val="24"/>
        </w:rPr>
      </w:pPr>
      <w:r w:rsidRPr="00C65153">
        <w:rPr>
          <w:b/>
          <w:sz w:val="24"/>
        </w:rPr>
        <w:t xml:space="preserve">Einsatz von Gebärdensprachen in Schulen mit Förderschwerpunkt Hören und Kommunikation in Nordrhein-Westfalen </w:t>
      </w:r>
    </w:p>
    <w:p w:rsidR="002F24EC" w:rsidRPr="00404FA8" w:rsidRDefault="002F24EC" w:rsidP="002F24EC">
      <w:pPr>
        <w:rPr>
          <w:sz w:val="24"/>
          <w:szCs w:val="24"/>
        </w:rPr>
      </w:pPr>
      <w:r w:rsidRPr="00404FA8">
        <w:rPr>
          <w:sz w:val="24"/>
          <w:szCs w:val="24"/>
        </w:rPr>
        <w:t>Die schulische Bildung f</w:t>
      </w:r>
      <w:r>
        <w:rPr>
          <w:sz w:val="24"/>
          <w:szCs w:val="24"/>
        </w:rPr>
        <w:t>ür Kinder und Jugendliche</w:t>
      </w:r>
      <w:r w:rsidRPr="00404FA8">
        <w:rPr>
          <w:sz w:val="24"/>
          <w:szCs w:val="24"/>
        </w:rPr>
        <w:t xml:space="preserve"> mit Hörbehinderung in Nordrhein-Westfalen ist entweder in Förderschulen mit dem Förderschwerpunkt Hören und Kommunikation oder im Gemeinsamen Unterricht in allgemeinen Schulen möglich. Das Förderschulsystem in NRW besteht neben</w:t>
      </w:r>
      <w:r>
        <w:rPr>
          <w:sz w:val="24"/>
          <w:szCs w:val="24"/>
        </w:rPr>
        <w:t xml:space="preserve"> der</w:t>
      </w:r>
      <w:r w:rsidRPr="00404FA8">
        <w:rPr>
          <w:sz w:val="24"/>
          <w:szCs w:val="24"/>
        </w:rPr>
        <w:t xml:space="preserve"> Frühförderung</w:t>
      </w:r>
      <w:r>
        <w:rPr>
          <w:sz w:val="24"/>
          <w:szCs w:val="24"/>
        </w:rPr>
        <w:t xml:space="preserve"> aus</w:t>
      </w:r>
      <w:r w:rsidRPr="00404FA8">
        <w:rPr>
          <w:sz w:val="24"/>
          <w:szCs w:val="24"/>
        </w:rPr>
        <w:t xml:space="preserve">, schulischer Bildung </w:t>
      </w:r>
      <w:r>
        <w:rPr>
          <w:sz w:val="24"/>
          <w:szCs w:val="24"/>
        </w:rPr>
        <w:t>bis hin zum</w:t>
      </w:r>
      <w:r w:rsidRPr="00404FA8">
        <w:rPr>
          <w:sz w:val="24"/>
          <w:szCs w:val="24"/>
        </w:rPr>
        <w:t xml:space="preserve"> Absolvieren der </w:t>
      </w:r>
      <w:r w:rsidRPr="00404FA8">
        <w:rPr>
          <w:sz w:val="24"/>
          <w:szCs w:val="24"/>
        </w:rPr>
        <w:lastRenderedPageBreak/>
        <w:t>allgemeinen Hochschulreife</w:t>
      </w:r>
      <w:r>
        <w:rPr>
          <w:sz w:val="24"/>
          <w:szCs w:val="24"/>
        </w:rPr>
        <w:t>.</w:t>
      </w:r>
      <w:r w:rsidRPr="00404FA8">
        <w:rPr>
          <w:sz w:val="24"/>
          <w:szCs w:val="24"/>
        </w:rPr>
        <w:t xml:space="preserve"> Immer mehr gehörlose Eltern entschließen sich, ihre ebenfalls gehörlosen Kinder in allgemeinen Schulen unterrichten zu lassen, während die Kommunikation und der Unterricht durch den Einsatz von Gebärdensprachdolmetscherinnen und –</w:t>
      </w:r>
      <w:proofErr w:type="spellStart"/>
      <w:r w:rsidRPr="00404FA8">
        <w:rPr>
          <w:sz w:val="24"/>
          <w:szCs w:val="24"/>
        </w:rPr>
        <w:t>dolmetscher</w:t>
      </w:r>
      <w:proofErr w:type="spellEnd"/>
      <w:r w:rsidRPr="00404FA8">
        <w:rPr>
          <w:sz w:val="24"/>
          <w:szCs w:val="24"/>
        </w:rPr>
        <w:t xml:space="preserve"> abgesichert wird. </w:t>
      </w:r>
    </w:p>
    <w:p w:rsidR="002F24EC" w:rsidRDefault="002F24EC" w:rsidP="002F24EC">
      <w:pPr>
        <w:rPr>
          <w:sz w:val="24"/>
          <w:szCs w:val="24"/>
        </w:rPr>
      </w:pPr>
      <w:r>
        <w:rPr>
          <w:sz w:val="24"/>
          <w:szCs w:val="24"/>
        </w:rPr>
        <w:t>In NRW</w:t>
      </w:r>
      <w:r w:rsidRPr="00404FA8">
        <w:rPr>
          <w:sz w:val="24"/>
          <w:szCs w:val="24"/>
        </w:rPr>
        <w:t xml:space="preserve"> bestehen insgesamt 16 Förderschulen mit dem Förderschwerpunkt Hören und Kommunikation</w:t>
      </w:r>
      <w:r>
        <w:rPr>
          <w:sz w:val="24"/>
          <w:szCs w:val="24"/>
        </w:rPr>
        <w:t xml:space="preserve"> </w:t>
      </w:r>
      <w:r w:rsidRPr="00404FA8">
        <w:rPr>
          <w:sz w:val="24"/>
          <w:szCs w:val="24"/>
        </w:rPr>
        <w:t xml:space="preserve">während 13 Förderschulen Maßnahmen der pädagogischen Frühförderung anbieten. Die meisten Förderschulen mit dem Förderschwerpunkt Hören und Kommunikation unterrichten in der Grund- und Sekundarstufe. In Dortmund gibt es die Möglichkeit eine weiterführende Schule zu besuchen: Realschule für Hörgeschädigte. Im Rheinisch-Westfälischen Berufskolleg für Hörgeschädigte in Essen können Schülerinnen und Schüler mit Hörbehinderung </w:t>
      </w:r>
      <w:r>
        <w:rPr>
          <w:sz w:val="24"/>
          <w:szCs w:val="24"/>
        </w:rPr>
        <w:t xml:space="preserve">eine </w:t>
      </w:r>
      <w:r w:rsidRPr="00404FA8">
        <w:rPr>
          <w:sz w:val="24"/>
          <w:szCs w:val="24"/>
        </w:rPr>
        <w:t xml:space="preserve">berufliche Ausbildung, die Fachhochschulreife oder </w:t>
      </w:r>
      <w:r>
        <w:rPr>
          <w:sz w:val="24"/>
          <w:szCs w:val="24"/>
        </w:rPr>
        <w:t xml:space="preserve">die </w:t>
      </w:r>
      <w:r w:rsidRPr="00404FA8">
        <w:rPr>
          <w:sz w:val="24"/>
          <w:szCs w:val="24"/>
        </w:rPr>
        <w:t xml:space="preserve">allgemeine Hochschulreife absolvieren. </w:t>
      </w:r>
    </w:p>
    <w:p w:rsidR="002F24EC" w:rsidRPr="002F24EC" w:rsidRDefault="002F24EC" w:rsidP="002F24EC">
      <w:pPr>
        <w:rPr>
          <w:b/>
          <w:i/>
          <w:szCs w:val="24"/>
        </w:rPr>
      </w:pPr>
      <w:r w:rsidRPr="002F24EC">
        <w:rPr>
          <w:b/>
          <w:i/>
          <w:szCs w:val="24"/>
        </w:rPr>
        <w:t xml:space="preserve">Kaul, Thomas und Niehaus, Mathilde (2013): Teilhabe und Inklusion von Menschen mit Hörschädigung in unterschiedlichen Lebenslagen in Nordrhein-Westfalen, Köln </w:t>
      </w:r>
    </w:p>
    <w:p w:rsidR="002F24EC" w:rsidRPr="002F24EC" w:rsidRDefault="002F24EC" w:rsidP="002F24EC">
      <w:pPr>
        <w:rPr>
          <w:b/>
          <w:i/>
        </w:rPr>
      </w:pPr>
      <w:r w:rsidRPr="002F24EC">
        <w:rPr>
          <w:b/>
          <w:i/>
        </w:rPr>
        <w:t xml:space="preserve">Bundeselternverband gehörloser Kinder e.V. (ohne Jahr): Positionspapier Verortung der Gebärdensprache in Erziehung und Bildung. Deutsch - Deutsch Gebärdensprachige Kindergärten, Schulen, Ausbildungsstätten und Hochschulen. Abrufbar unter: </w:t>
      </w:r>
      <w:hyperlink r:id="rId10" w:history="1">
        <w:r w:rsidRPr="002F24EC">
          <w:rPr>
            <w:rStyle w:val="Hyperlink"/>
            <w:b/>
            <w:i/>
          </w:rPr>
          <w:t>https://www.kestner.de/n/verschiedenes/presse/2011/bgk-positionspapier.pdf</w:t>
        </w:r>
      </w:hyperlink>
    </w:p>
    <w:p w:rsidR="002F24EC" w:rsidRDefault="002F24EC" w:rsidP="002F24EC">
      <w:pPr>
        <w:rPr>
          <w:b/>
          <w:sz w:val="24"/>
          <w:szCs w:val="24"/>
        </w:rPr>
      </w:pPr>
    </w:p>
    <w:p w:rsidR="002F24EC" w:rsidRPr="00C753D3" w:rsidRDefault="002F24EC" w:rsidP="002F24EC">
      <w:pPr>
        <w:rPr>
          <w:b/>
          <w:sz w:val="24"/>
          <w:szCs w:val="24"/>
        </w:rPr>
      </w:pPr>
      <w:r w:rsidRPr="00C753D3">
        <w:rPr>
          <w:b/>
          <w:sz w:val="24"/>
          <w:szCs w:val="24"/>
        </w:rPr>
        <w:t>Frühförderung und Gebärdensprache</w:t>
      </w:r>
    </w:p>
    <w:p w:rsidR="002F24EC" w:rsidRDefault="002F24EC" w:rsidP="002F24EC">
      <w:pPr>
        <w:rPr>
          <w:sz w:val="24"/>
          <w:szCs w:val="24"/>
        </w:rPr>
      </w:pPr>
      <w:r w:rsidRPr="00404FA8">
        <w:rPr>
          <w:sz w:val="24"/>
          <w:szCs w:val="24"/>
        </w:rPr>
        <w:t>In Frühförderzentren werden Kinder mit Hörbehinderung in der Regel lautsprachlich gefördert, da es in NRW keine gebärdensprachlichen Frühförderangebote gibt. Jedoch</w:t>
      </w:r>
      <w:r>
        <w:rPr>
          <w:sz w:val="24"/>
          <w:szCs w:val="24"/>
        </w:rPr>
        <w:t xml:space="preserve"> bestehen </w:t>
      </w:r>
      <w:r w:rsidRPr="00404FA8">
        <w:rPr>
          <w:sz w:val="24"/>
          <w:szCs w:val="24"/>
        </w:rPr>
        <w:t>vereinzelte gebärdensprachliche Angebote im Frühförderbereich, die z.B. von gehörlosen Pädagoginnen und Pädagogen durc</w:t>
      </w:r>
      <w:r>
        <w:rPr>
          <w:sz w:val="24"/>
          <w:szCs w:val="24"/>
        </w:rPr>
        <w:t>hgeführt werden oder in Kindergä</w:t>
      </w:r>
      <w:r w:rsidRPr="00404FA8">
        <w:rPr>
          <w:sz w:val="24"/>
          <w:szCs w:val="24"/>
        </w:rPr>
        <w:t xml:space="preserve">rten werden Sprachgruppen in Deutscher Gebärdensprache </w:t>
      </w:r>
      <w:r>
        <w:rPr>
          <w:sz w:val="24"/>
          <w:szCs w:val="24"/>
        </w:rPr>
        <w:t xml:space="preserve">(DGS) </w:t>
      </w:r>
      <w:r w:rsidRPr="00404FA8">
        <w:rPr>
          <w:sz w:val="24"/>
          <w:szCs w:val="24"/>
        </w:rPr>
        <w:t>gebildet. Auch verschiedene private Frühfördereinrichtungen oder Frühförderinnen und Frühförderer bieten für Kinder mit Hörbehinderung Fördermaßnahmen an</w:t>
      </w:r>
      <w:r>
        <w:rPr>
          <w:sz w:val="24"/>
          <w:szCs w:val="24"/>
        </w:rPr>
        <w:t>;</w:t>
      </w:r>
      <w:r w:rsidRPr="00404FA8">
        <w:rPr>
          <w:sz w:val="24"/>
          <w:szCs w:val="24"/>
        </w:rPr>
        <w:t xml:space="preserve"> wie beispielsweise der Verein Gib Zeit e.V. eine Förderung in Laut- und Gebärdensprache anbietet.</w:t>
      </w:r>
      <w:r>
        <w:rPr>
          <w:sz w:val="24"/>
          <w:szCs w:val="24"/>
        </w:rPr>
        <w:t xml:space="preserve"> </w:t>
      </w:r>
    </w:p>
    <w:p w:rsidR="002F24EC" w:rsidRPr="002F24EC" w:rsidRDefault="002F24EC" w:rsidP="002F24EC">
      <w:pPr>
        <w:rPr>
          <w:b/>
          <w:i/>
          <w:szCs w:val="24"/>
        </w:rPr>
      </w:pPr>
      <w:r w:rsidRPr="002F24EC">
        <w:rPr>
          <w:b/>
          <w:i/>
          <w:szCs w:val="24"/>
        </w:rPr>
        <w:t xml:space="preserve">GIB ZEIT e.V. - Verein zur Förderung der Zweisprachigkeit bei gehörlosen und schwerhörigen Kindern in NRW. Abrufbar unter: </w:t>
      </w:r>
      <w:hyperlink r:id="rId11" w:history="1">
        <w:r w:rsidRPr="002F24EC">
          <w:rPr>
            <w:rStyle w:val="Hyperlink"/>
            <w:b/>
            <w:i/>
            <w:szCs w:val="24"/>
          </w:rPr>
          <w:t>http://gibzeit.de/uber-uns/</w:t>
        </w:r>
      </w:hyperlink>
    </w:p>
    <w:p w:rsidR="002F24EC" w:rsidRPr="002F24EC" w:rsidRDefault="002F24EC" w:rsidP="002F24EC">
      <w:pPr>
        <w:rPr>
          <w:b/>
          <w:i/>
          <w:szCs w:val="24"/>
        </w:rPr>
      </w:pPr>
      <w:r w:rsidRPr="002F24EC">
        <w:rPr>
          <w:b/>
          <w:i/>
          <w:szCs w:val="24"/>
        </w:rPr>
        <w:t>Deutscher Gehörlosen-Bund e.V. (2016): Fragebogenauswertung. Projekt „Sprachen machen mich gesund!“. Laufzeit 01.07.2015-30.06.2016.</w:t>
      </w:r>
    </w:p>
    <w:p w:rsidR="00C37D2F" w:rsidRDefault="00C37D2F" w:rsidP="002F24EC">
      <w:pPr>
        <w:rPr>
          <w:b/>
          <w:sz w:val="24"/>
          <w:szCs w:val="24"/>
        </w:rPr>
      </w:pPr>
    </w:p>
    <w:p w:rsidR="002F24EC" w:rsidRPr="00C753D3" w:rsidRDefault="002F24EC" w:rsidP="002F24EC">
      <w:pPr>
        <w:rPr>
          <w:b/>
          <w:sz w:val="24"/>
          <w:szCs w:val="24"/>
        </w:rPr>
      </w:pPr>
      <w:r>
        <w:rPr>
          <w:b/>
          <w:sz w:val="24"/>
          <w:szCs w:val="24"/>
        </w:rPr>
        <w:lastRenderedPageBreak/>
        <w:t>Schulische Bildung und Gebärdensprache</w:t>
      </w:r>
    </w:p>
    <w:p w:rsidR="002F24EC" w:rsidRPr="00404FA8" w:rsidRDefault="002F24EC" w:rsidP="002F24EC">
      <w:pPr>
        <w:rPr>
          <w:sz w:val="24"/>
          <w:szCs w:val="24"/>
        </w:rPr>
      </w:pPr>
      <w:r w:rsidRPr="00404FA8">
        <w:rPr>
          <w:sz w:val="24"/>
          <w:szCs w:val="24"/>
        </w:rPr>
        <w:t>In Deutschland ist die sprachliche Förderung von Kindern und Jugendlichen mit Hörbehinderung lautsprachlich orientiert. Die Gebärdensprache findet seit etwa 25 Jahren schrittweise Platz in pädagogischen Konzept</w:t>
      </w:r>
      <w:r>
        <w:rPr>
          <w:sz w:val="24"/>
          <w:szCs w:val="24"/>
        </w:rPr>
        <w:t>en. Der erste Unterricht, in dem</w:t>
      </w:r>
      <w:r w:rsidRPr="00404FA8">
        <w:rPr>
          <w:sz w:val="24"/>
          <w:szCs w:val="24"/>
        </w:rPr>
        <w:t xml:space="preserve"> gehörlose und hochgradig schwerhörige Kinder neben Lautsprache auch </w:t>
      </w:r>
      <w:r>
        <w:rPr>
          <w:sz w:val="24"/>
          <w:szCs w:val="24"/>
        </w:rPr>
        <w:t xml:space="preserve">in </w:t>
      </w:r>
      <w:r w:rsidRPr="00404FA8">
        <w:rPr>
          <w:sz w:val="24"/>
          <w:szCs w:val="24"/>
        </w:rPr>
        <w:t>Gebärden- und Schriftsprache gefördert wurde</w:t>
      </w:r>
      <w:r>
        <w:rPr>
          <w:sz w:val="24"/>
          <w:szCs w:val="24"/>
        </w:rPr>
        <w:t>n</w:t>
      </w:r>
      <w:r w:rsidRPr="00404FA8">
        <w:rPr>
          <w:sz w:val="24"/>
          <w:szCs w:val="24"/>
        </w:rPr>
        <w:t xml:space="preserve">, startete mit dem Hamburger Bilingualen Schulversuch vom </w:t>
      </w:r>
      <w:r>
        <w:rPr>
          <w:sz w:val="24"/>
          <w:szCs w:val="24"/>
        </w:rPr>
        <w:t>199</w:t>
      </w:r>
      <w:r w:rsidRPr="00404FA8">
        <w:rPr>
          <w:sz w:val="24"/>
          <w:szCs w:val="24"/>
        </w:rPr>
        <w:t>3-1999. Berlin folgte im Jahre 2001. Die Schulversuche wu</w:t>
      </w:r>
      <w:r>
        <w:rPr>
          <w:sz w:val="24"/>
          <w:szCs w:val="24"/>
        </w:rPr>
        <w:t>rden wissenschaftlich begleitet. Sie beleg</w:t>
      </w:r>
      <w:r w:rsidRPr="00404FA8">
        <w:rPr>
          <w:sz w:val="24"/>
          <w:szCs w:val="24"/>
        </w:rPr>
        <w:t xml:space="preserve">en, dass bilingual geförderte Schülerinnen und Schüler vergleichsweise zu nicht-bilingual geförderten Schülerinnen und Schüler in zentralen Schulfächern </w:t>
      </w:r>
      <w:r>
        <w:rPr>
          <w:sz w:val="24"/>
          <w:szCs w:val="24"/>
        </w:rPr>
        <w:t xml:space="preserve">gleich </w:t>
      </w:r>
      <w:r w:rsidRPr="00404FA8">
        <w:rPr>
          <w:sz w:val="24"/>
          <w:szCs w:val="24"/>
        </w:rPr>
        <w:t>gute Leistungen zei</w:t>
      </w:r>
      <w:r>
        <w:rPr>
          <w:sz w:val="24"/>
          <w:szCs w:val="24"/>
        </w:rPr>
        <w:t>g</w:t>
      </w:r>
      <w:r w:rsidRPr="00404FA8">
        <w:rPr>
          <w:sz w:val="24"/>
          <w:szCs w:val="24"/>
        </w:rPr>
        <w:t>en. Im bilingualen Unterricht werden die Gebärden-, Laut- und Schriftsprache gleichermaßen behandelt, die von einer hörenden und gehörlosen Lehrkraft durchgeführt werden („</w:t>
      </w:r>
      <w:proofErr w:type="spellStart"/>
      <w:r w:rsidRPr="00404FA8">
        <w:rPr>
          <w:sz w:val="24"/>
          <w:szCs w:val="24"/>
        </w:rPr>
        <w:t>Teamteaching</w:t>
      </w:r>
      <w:proofErr w:type="spellEnd"/>
      <w:r w:rsidRPr="00404FA8">
        <w:rPr>
          <w:sz w:val="24"/>
          <w:szCs w:val="24"/>
        </w:rPr>
        <w:t>“). Das Ziel ist</w:t>
      </w:r>
      <w:r>
        <w:rPr>
          <w:sz w:val="24"/>
          <w:szCs w:val="24"/>
        </w:rPr>
        <w:t xml:space="preserve"> es</w:t>
      </w:r>
      <w:r w:rsidRPr="00404FA8">
        <w:rPr>
          <w:sz w:val="24"/>
          <w:szCs w:val="24"/>
        </w:rPr>
        <w:t xml:space="preserve">, die Laut- und Schriftsprache gegenüber der Gebärdensprache kontrastiv darzustellen, so dass </w:t>
      </w:r>
      <w:r>
        <w:rPr>
          <w:sz w:val="24"/>
          <w:szCs w:val="24"/>
        </w:rPr>
        <w:t xml:space="preserve">die </w:t>
      </w:r>
      <w:r w:rsidRPr="00404FA8">
        <w:rPr>
          <w:sz w:val="24"/>
          <w:szCs w:val="24"/>
        </w:rPr>
        <w:t>Schülerinnen und Schüler dadurch die Möglichkeit erhalten</w:t>
      </w:r>
      <w:r>
        <w:rPr>
          <w:sz w:val="24"/>
          <w:szCs w:val="24"/>
        </w:rPr>
        <w:t>,</w:t>
      </w:r>
      <w:r w:rsidRPr="00404FA8">
        <w:rPr>
          <w:sz w:val="24"/>
          <w:szCs w:val="24"/>
        </w:rPr>
        <w:t xml:space="preserve"> aus beiden Sprachsystemen die sprachlichen Regeln zu verinnerlichen. </w:t>
      </w:r>
    </w:p>
    <w:p w:rsidR="002F24EC" w:rsidRPr="002F24EC" w:rsidRDefault="002F24EC" w:rsidP="002F24EC">
      <w:pPr>
        <w:rPr>
          <w:b/>
          <w:i/>
          <w:szCs w:val="24"/>
        </w:rPr>
      </w:pPr>
      <w:r w:rsidRPr="002F24EC">
        <w:rPr>
          <w:b/>
          <w:i/>
          <w:szCs w:val="24"/>
        </w:rPr>
        <w:t xml:space="preserve">Günther, Klaus-B. et al (2004): Bilinguale Erziehung als Förderkonzept für gehörlose </w:t>
      </w:r>
      <w:proofErr w:type="spellStart"/>
      <w:r w:rsidRPr="002F24EC">
        <w:rPr>
          <w:b/>
          <w:i/>
          <w:szCs w:val="24"/>
        </w:rPr>
        <w:t>SchülerInnen</w:t>
      </w:r>
      <w:proofErr w:type="spellEnd"/>
      <w:r w:rsidRPr="002F24EC">
        <w:rPr>
          <w:b/>
          <w:i/>
          <w:szCs w:val="24"/>
        </w:rPr>
        <w:t xml:space="preserve">. Abschlussbericht zum Hamburger Bilingualen Schulversuch. Broschur / Paperback, Signum Verlag, S. 65-92. </w:t>
      </w:r>
    </w:p>
    <w:p w:rsidR="002F24EC" w:rsidRPr="002F24EC" w:rsidRDefault="002F24EC" w:rsidP="002F24EC">
      <w:pPr>
        <w:rPr>
          <w:b/>
          <w:i/>
          <w:szCs w:val="24"/>
        </w:rPr>
      </w:pPr>
      <w:proofErr w:type="spellStart"/>
      <w:r w:rsidRPr="002F24EC">
        <w:rPr>
          <w:b/>
          <w:i/>
          <w:szCs w:val="24"/>
        </w:rPr>
        <w:t>Hennies</w:t>
      </w:r>
      <w:proofErr w:type="spellEnd"/>
      <w:r w:rsidRPr="002F24EC">
        <w:rPr>
          <w:b/>
          <w:i/>
          <w:szCs w:val="24"/>
        </w:rPr>
        <w:t xml:space="preserve">, Johannes (2012): Inklusion: Bestandsaufnahme und Perspektiven, in: </w:t>
      </w:r>
      <w:proofErr w:type="spellStart"/>
      <w:r w:rsidRPr="002F24EC">
        <w:rPr>
          <w:b/>
          <w:i/>
          <w:szCs w:val="24"/>
        </w:rPr>
        <w:t>Forumtagesberichte</w:t>
      </w:r>
      <w:proofErr w:type="spellEnd"/>
    </w:p>
    <w:p w:rsidR="002F24EC" w:rsidRDefault="002F24EC" w:rsidP="002F24EC">
      <w:pPr>
        <w:rPr>
          <w:sz w:val="24"/>
          <w:szCs w:val="24"/>
        </w:rPr>
      </w:pPr>
    </w:p>
    <w:p w:rsidR="002F24EC" w:rsidRPr="006F15BD" w:rsidRDefault="002F24EC" w:rsidP="002F24EC">
      <w:pPr>
        <w:rPr>
          <w:b/>
          <w:sz w:val="24"/>
          <w:szCs w:val="24"/>
        </w:rPr>
      </w:pPr>
      <w:r w:rsidRPr="006F15BD">
        <w:rPr>
          <w:b/>
          <w:sz w:val="24"/>
          <w:szCs w:val="24"/>
        </w:rPr>
        <w:t>Bilingualer Unterricht in Nordrhein-Westfalen</w:t>
      </w:r>
    </w:p>
    <w:p w:rsidR="002F24EC" w:rsidRDefault="002F24EC" w:rsidP="002F24EC">
      <w:pPr>
        <w:rPr>
          <w:sz w:val="24"/>
          <w:szCs w:val="24"/>
        </w:rPr>
      </w:pPr>
      <w:r w:rsidRPr="00404FA8">
        <w:rPr>
          <w:sz w:val="24"/>
          <w:szCs w:val="24"/>
        </w:rPr>
        <w:t>In Nordrhein-Westfalen gibt es keine flachendeckende strukturell eingebundene bilinguale Förderung und Bildung, jedoch finden sich Unterrichtsfächer mit bilinguale Ansätze</w:t>
      </w:r>
      <w:r>
        <w:rPr>
          <w:sz w:val="24"/>
          <w:szCs w:val="24"/>
        </w:rPr>
        <w:t>n</w:t>
      </w:r>
      <w:r w:rsidRPr="00404FA8">
        <w:rPr>
          <w:sz w:val="24"/>
          <w:szCs w:val="24"/>
        </w:rPr>
        <w:t xml:space="preserve">: beispielsweise seit 2011 </w:t>
      </w:r>
      <w:r>
        <w:rPr>
          <w:sz w:val="24"/>
          <w:szCs w:val="24"/>
        </w:rPr>
        <w:t>den</w:t>
      </w:r>
      <w:r w:rsidRPr="00404FA8">
        <w:rPr>
          <w:sz w:val="24"/>
          <w:szCs w:val="24"/>
        </w:rPr>
        <w:t xml:space="preserve"> bilingualen Deutschunterricht an der Realschule für Hörgeschädigte, der gemeinsam von einem hörenden, gebärdensprachkompetenten Deutschlehrer und </w:t>
      </w:r>
      <w:r>
        <w:rPr>
          <w:sz w:val="24"/>
          <w:szCs w:val="24"/>
        </w:rPr>
        <w:t>einer DGS-</w:t>
      </w:r>
      <w:r w:rsidRPr="00404FA8">
        <w:rPr>
          <w:sz w:val="24"/>
          <w:szCs w:val="24"/>
        </w:rPr>
        <w:t>Dozentin vorb</w:t>
      </w:r>
      <w:r>
        <w:rPr>
          <w:sz w:val="24"/>
          <w:szCs w:val="24"/>
        </w:rPr>
        <w:t>ereitet und durchgeführt wird.</w:t>
      </w:r>
    </w:p>
    <w:p w:rsidR="002F24EC" w:rsidRPr="002F24EC" w:rsidRDefault="002F24EC" w:rsidP="002F24EC">
      <w:pPr>
        <w:rPr>
          <w:b/>
          <w:i/>
        </w:rPr>
      </w:pPr>
      <w:r w:rsidRPr="002F24EC">
        <w:rPr>
          <w:b/>
          <w:i/>
        </w:rPr>
        <w:t xml:space="preserve">Rheinisch-Westfälische Realschule Dortmund (ohne Jahr): Bilingualer Deutschunterricht: Abrufbar unter: </w:t>
      </w:r>
      <w:hyperlink r:id="rId12" w:history="1">
        <w:r w:rsidRPr="002F24EC">
          <w:rPr>
            <w:rStyle w:val="Hyperlink"/>
            <w:b/>
            <w:i/>
          </w:rPr>
          <w:t>http://www.realhoer.de/schule/bilinguales-lernen/bilingualer-deutschunterricht</w:t>
        </w:r>
      </w:hyperlink>
    </w:p>
    <w:p w:rsidR="002F24EC" w:rsidRDefault="002F24EC" w:rsidP="002F24EC">
      <w:pPr>
        <w:rPr>
          <w:sz w:val="24"/>
          <w:szCs w:val="24"/>
        </w:rPr>
      </w:pPr>
    </w:p>
    <w:p w:rsidR="002F24EC" w:rsidRDefault="002F24EC" w:rsidP="002F24EC">
      <w:pPr>
        <w:rPr>
          <w:sz w:val="24"/>
          <w:szCs w:val="24"/>
        </w:rPr>
      </w:pPr>
      <w:r>
        <w:rPr>
          <w:sz w:val="24"/>
          <w:szCs w:val="24"/>
        </w:rPr>
        <w:t xml:space="preserve">Die DGS </w:t>
      </w:r>
      <w:r w:rsidRPr="00404FA8">
        <w:rPr>
          <w:sz w:val="24"/>
          <w:szCs w:val="24"/>
        </w:rPr>
        <w:t xml:space="preserve">findet in immer mehr Förderschulen mit dem Förderschwerpunkt Hören und Kommunikation Berücksichtigung. In einigen Schulen wird die DGS als Unterrichtsfach angeboten, jedoch verfügt das Land NRW noch nicht über einen Lehrplan für dieses Unterrichtsfach. </w:t>
      </w:r>
      <w:r>
        <w:rPr>
          <w:sz w:val="24"/>
          <w:szCs w:val="24"/>
        </w:rPr>
        <w:t xml:space="preserve">(vgl. Kaul, S. 72) </w:t>
      </w:r>
    </w:p>
    <w:p w:rsidR="002F24EC" w:rsidRDefault="002F24EC" w:rsidP="002F24EC">
      <w:pPr>
        <w:rPr>
          <w:sz w:val="24"/>
          <w:szCs w:val="24"/>
        </w:rPr>
      </w:pPr>
      <w:r w:rsidRPr="00404FA8">
        <w:rPr>
          <w:sz w:val="24"/>
          <w:szCs w:val="24"/>
        </w:rPr>
        <w:lastRenderedPageBreak/>
        <w:t xml:space="preserve">Obwohl der Art. 24 der UN-BRK </w:t>
      </w:r>
      <w:r>
        <w:rPr>
          <w:sz w:val="24"/>
          <w:szCs w:val="24"/>
        </w:rPr>
        <w:t xml:space="preserve">auf </w:t>
      </w:r>
      <w:r w:rsidRPr="00404FA8">
        <w:rPr>
          <w:sz w:val="24"/>
          <w:szCs w:val="24"/>
        </w:rPr>
        <w:t>da</w:t>
      </w:r>
      <w:r>
        <w:rPr>
          <w:sz w:val="24"/>
          <w:szCs w:val="24"/>
        </w:rPr>
        <w:t>s Recht auf gebärdensprachliche</w:t>
      </w:r>
      <w:r w:rsidRPr="00404FA8">
        <w:rPr>
          <w:sz w:val="24"/>
          <w:szCs w:val="24"/>
        </w:rPr>
        <w:t xml:space="preserve"> Förderung </w:t>
      </w:r>
      <w:r>
        <w:rPr>
          <w:sz w:val="24"/>
          <w:szCs w:val="24"/>
        </w:rPr>
        <w:t xml:space="preserve">verweist, ist die Umsetzung </w:t>
      </w:r>
      <w:r w:rsidRPr="00404FA8">
        <w:rPr>
          <w:sz w:val="24"/>
          <w:szCs w:val="24"/>
        </w:rPr>
        <w:t xml:space="preserve">der Qualifikationsgrad </w:t>
      </w:r>
      <w:r>
        <w:rPr>
          <w:sz w:val="24"/>
          <w:szCs w:val="24"/>
        </w:rPr>
        <w:t xml:space="preserve">in Gebärdensprache </w:t>
      </w:r>
      <w:r w:rsidRPr="00404FA8">
        <w:rPr>
          <w:sz w:val="24"/>
          <w:szCs w:val="24"/>
        </w:rPr>
        <w:t xml:space="preserve">in einer großen Bandbreite </w:t>
      </w:r>
      <w:r>
        <w:rPr>
          <w:sz w:val="24"/>
          <w:szCs w:val="24"/>
        </w:rPr>
        <w:t>vorzu</w:t>
      </w:r>
      <w:r w:rsidRPr="00404FA8">
        <w:rPr>
          <w:sz w:val="24"/>
          <w:szCs w:val="24"/>
        </w:rPr>
        <w:t>finden. Das liegt vor allem daran, dass Gebärdensprache nicht überal</w:t>
      </w:r>
      <w:r>
        <w:rPr>
          <w:sz w:val="24"/>
          <w:szCs w:val="24"/>
        </w:rPr>
        <w:t>l als Teil der Ausbildung</w:t>
      </w:r>
      <w:r w:rsidRPr="00404FA8">
        <w:rPr>
          <w:sz w:val="24"/>
          <w:szCs w:val="24"/>
        </w:rPr>
        <w:t xml:space="preserve"> in gleichem Umfang angeboten wird </w:t>
      </w:r>
      <w:r>
        <w:rPr>
          <w:sz w:val="24"/>
          <w:szCs w:val="24"/>
        </w:rPr>
        <w:t>und keine</w:t>
      </w:r>
      <w:r w:rsidRPr="00404FA8">
        <w:rPr>
          <w:sz w:val="24"/>
          <w:szCs w:val="24"/>
        </w:rPr>
        <w:t xml:space="preserve"> grundlegende</w:t>
      </w:r>
      <w:r>
        <w:rPr>
          <w:sz w:val="24"/>
          <w:szCs w:val="24"/>
        </w:rPr>
        <w:t>n</w:t>
      </w:r>
      <w:r w:rsidRPr="00404FA8">
        <w:rPr>
          <w:sz w:val="24"/>
          <w:szCs w:val="24"/>
        </w:rPr>
        <w:t xml:space="preserve"> Sprachkenntnisse entsprechend dem Gemeinsamen Europäischen Referenzrahmen für Sprachen sicher</w:t>
      </w:r>
      <w:r>
        <w:rPr>
          <w:sz w:val="24"/>
          <w:szCs w:val="24"/>
        </w:rPr>
        <w:t>gestellt</w:t>
      </w:r>
      <w:r w:rsidRPr="00404FA8">
        <w:rPr>
          <w:sz w:val="24"/>
          <w:szCs w:val="24"/>
        </w:rPr>
        <w:t xml:space="preserve">. </w:t>
      </w:r>
    </w:p>
    <w:p w:rsidR="002F24EC" w:rsidRPr="002F24EC" w:rsidRDefault="002F24EC" w:rsidP="002F24EC">
      <w:pPr>
        <w:rPr>
          <w:b/>
          <w:i/>
          <w:szCs w:val="24"/>
        </w:rPr>
      </w:pPr>
      <w:r w:rsidRPr="002F24EC">
        <w:rPr>
          <w:b/>
          <w:i/>
          <w:szCs w:val="24"/>
        </w:rPr>
        <w:t>Deutscher Gehörlosen-Bund e.V. (2016): Fragebogenauswertung. Projekt „Sprachen machen mich gesund!“. Laufzeit 01.07.2015-30.06.2016.</w:t>
      </w:r>
    </w:p>
    <w:p w:rsidR="002F24EC" w:rsidRDefault="002F24EC" w:rsidP="002F24EC">
      <w:pPr>
        <w:rPr>
          <w:sz w:val="24"/>
          <w:szCs w:val="24"/>
        </w:rPr>
      </w:pPr>
    </w:p>
    <w:p w:rsidR="002F24EC" w:rsidRDefault="002F24EC" w:rsidP="002F24EC">
      <w:pPr>
        <w:rPr>
          <w:sz w:val="24"/>
          <w:szCs w:val="24"/>
        </w:rPr>
      </w:pPr>
      <w:r w:rsidRPr="00404FA8">
        <w:rPr>
          <w:sz w:val="24"/>
          <w:szCs w:val="24"/>
        </w:rPr>
        <w:t xml:space="preserve">An der Universität zu Köln erlernen Studentinnen und Studenten im Studiengang Sonderpädagogik mit der sonderpädagogischen Fachrichtung Hören und Kommunikation </w:t>
      </w:r>
      <w:r>
        <w:rPr>
          <w:sz w:val="24"/>
          <w:szCs w:val="24"/>
        </w:rPr>
        <w:t xml:space="preserve">das </w:t>
      </w:r>
      <w:r w:rsidRPr="00404FA8">
        <w:rPr>
          <w:sz w:val="24"/>
          <w:szCs w:val="24"/>
        </w:rPr>
        <w:t>Unterrichtsfach „Deutsche Gebärdenspr</w:t>
      </w:r>
      <w:r>
        <w:rPr>
          <w:sz w:val="24"/>
          <w:szCs w:val="24"/>
        </w:rPr>
        <w:t xml:space="preserve">ache“ als Erweiterungsfach </w:t>
      </w:r>
    </w:p>
    <w:p w:rsidR="002F24EC" w:rsidRPr="002F24EC" w:rsidRDefault="002F24EC" w:rsidP="002F24EC">
      <w:pPr>
        <w:rPr>
          <w:b/>
          <w:i/>
        </w:rPr>
      </w:pPr>
      <w:r w:rsidRPr="002F24EC">
        <w:rPr>
          <w:b/>
          <w:i/>
        </w:rPr>
        <w:t xml:space="preserve">Universität zu Köln - Humanwissenschaftliche Fakultät SSC Heilpädagogik (ohne Jahr): Erweiterungsfach Deutsche Gebärdensprache. Abrufbar unter: </w:t>
      </w:r>
      <w:hyperlink r:id="rId13" w:history="1">
        <w:r w:rsidRPr="002F24EC">
          <w:rPr>
            <w:rStyle w:val="Hyperlink"/>
            <w:b/>
            <w:i/>
          </w:rPr>
          <w:t>https://www.hf.uni-koeln.de/38230</w:t>
        </w:r>
      </w:hyperlink>
      <w:r w:rsidRPr="002F24EC">
        <w:rPr>
          <w:b/>
          <w:i/>
        </w:rPr>
        <w:t>)</w:t>
      </w:r>
    </w:p>
    <w:p w:rsidR="002F24EC" w:rsidRDefault="002F24EC" w:rsidP="002F24EC">
      <w:pPr>
        <w:rPr>
          <w:sz w:val="24"/>
          <w:szCs w:val="24"/>
        </w:rPr>
      </w:pPr>
    </w:p>
    <w:p w:rsidR="002F24EC" w:rsidRDefault="002F24EC" w:rsidP="002F24EC">
      <w:pPr>
        <w:rPr>
          <w:sz w:val="24"/>
          <w:szCs w:val="24"/>
        </w:rPr>
      </w:pPr>
      <w:r w:rsidRPr="00404FA8">
        <w:rPr>
          <w:sz w:val="24"/>
          <w:szCs w:val="24"/>
        </w:rPr>
        <w:t xml:space="preserve">Für die früher ausgebildeten Pädagoginnen und Pädagogen ohne verfügbare Gebärdensprachkenntnisse ist die DGS eine neu zu erlernende Sprache. Ein enormer Bedarf an stetig begleitenden Gebärdensprachkursen ist vorhanden. </w:t>
      </w:r>
      <w:r>
        <w:rPr>
          <w:sz w:val="24"/>
          <w:szCs w:val="24"/>
        </w:rPr>
        <w:t>Zusätzlich</w:t>
      </w:r>
      <w:r w:rsidRPr="00404FA8">
        <w:rPr>
          <w:sz w:val="24"/>
          <w:szCs w:val="24"/>
        </w:rPr>
        <w:t xml:space="preserve"> benötigen sie wissenschaftlich</w:t>
      </w:r>
      <w:r>
        <w:rPr>
          <w:sz w:val="24"/>
          <w:szCs w:val="24"/>
        </w:rPr>
        <w:t>e</w:t>
      </w:r>
      <w:r w:rsidRPr="00404FA8">
        <w:rPr>
          <w:sz w:val="24"/>
          <w:szCs w:val="24"/>
        </w:rPr>
        <w:t xml:space="preserve"> Zusatzausbildungen, um in den Schulen eine qualitativ hochwertige Arbeit aufrecht zu erhalten. Es ist für die Lehrkräfte schwierig, qualitativ passende Weiterbildungsangebote zu finden, um ihre Kenntnisse aufzufrischen. </w:t>
      </w:r>
    </w:p>
    <w:p w:rsidR="002F24EC" w:rsidRDefault="002F24EC" w:rsidP="002F24EC">
      <w:pPr>
        <w:rPr>
          <w:b/>
          <w:i/>
          <w:szCs w:val="24"/>
        </w:rPr>
      </w:pPr>
      <w:proofErr w:type="spellStart"/>
      <w:r w:rsidRPr="002F24EC">
        <w:rPr>
          <w:b/>
          <w:i/>
          <w:szCs w:val="24"/>
        </w:rPr>
        <w:t>Hennies</w:t>
      </w:r>
      <w:proofErr w:type="spellEnd"/>
      <w:r w:rsidRPr="002F24EC">
        <w:rPr>
          <w:b/>
          <w:i/>
          <w:szCs w:val="24"/>
        </w:rPr>
        <w:t>, Johannes (2012): Inklusion: Bestandsaufnahme und Perspektiven, in: Forumstagesberichte, S. 15.</w:t>
      </w:r>
    </w:p>
    <w:p w:rsidR="007C7CF1" w:rsidRPr="007C7CF1" w:rsidRDefault="007C7CF1" w:rsidP="002F24EC">
      <w:pPr>
        <w:rPr>
          <w:szCs w:val="24"/>
        </w:rPr>
      </w:pPr>
    </w:p>
    <w:p w:rsidR="002F24EC" w:rsidRDefault="002F24EC" w:rsidP="002F24EC">
      <w:pPr>
        <w:rPr>
          <w:sz w:val="24"/>
          <w:szCs w:val="24"/>
        </w:rPr>
      </w:pPr>
      <w:r>
        <w:rPr>
          <w:sz w:val="24"/>
          <w:szCs w:val="24"/>
        </w:rPr>
        <w:t xml:space="preserve">Es gibt ein Fachverband aus engagierten Pädagoginnen und Pädagogen, die für Kinder und Jugendliche mit Hörbehinderung Verbesserungen im Bereich der Frühförderung und schulischen Bildung anstreben sowie Fachtreffen und Weiterbildungen anbieten. </w:t>
      </w:r>
    </w:p>
    <w:p w:rsidR="009B24BD" w:rsidRPr="007C7CF1" w:rsidRDefault="002F24EC" w:rsidP="007C7CF1">
      <w:pPr>
        <w:rPr>
          <w:b/>
          <w:i/>
          <w:szCs w:val="24"/>
        </w:rPr>
      </w:pPr>
      <w:r w:rsidRPr="002F24EC">
        <w:rPr>
          <w:b/>
          <w:i/>
          <w:szCs w:val="24"/>
        </w:rPr>
        <w:t xml:space="preserve">Deutscher Fachverband für Gehörlosen und </w:t>
      </w:r>
      <w:proofErr w:type="spellStart"/>
      <w:r w:rsidRPr="002F24EC">
        <w:rPr>
          <w:b/>
          <w:i/>
          <w:szCs w:val="24"/>
        </w:rPr>
        <w:t>Schwerhörigenpädagogik</w:t>
      </w:r>
      <w:proofErr w:type="spellEnd"/>
      <w:r w:rsidRPr="002F24EC">
        <w:rPr>
          <w:b/>
          <w:i/>
          <w:szCs w:val="24"/>
        </w:rPr>
        <w:t xml:space="preserve"> e.V. (ohne Jahr). Verfügbar unter: </w:t>
      </w:r>
      <w:hyperlink r:id="rId14" w:history="1">
        <w:r w:rsidRPr="002F24EC">
          <w:rPr>
            <w:rStyle w:val="Hyperlink"/>
            <w:b/>
            <w:i/>
            <w:szCs w:val="24"/>
          </w:rPr>
          <w:t>https://www.dfgs.org/</w:t>
        </w:r>
      </w:hyperlink>
    </w:p>
    <w:sectPr w:rsidR="009B24BD" w:rsidRPr="007C7CF1" w:rsidSect="0099368C">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835" w:right="1134" w:bottom="1985" w:left="1418" w:header="709" w:footer="28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718" w:rsidRPr="00683473" w:rsidRDefault="00733718" w:rsidP="00683473">
      <w:r>
        <w:separator/>
      </w:r>
    </w:p>
  </w:endnote>
  <w:endnote w:type="continuationSeparator" w:id="0">
    <w:p w:rsidR="00733718" w:rsidRPr="00683473" w:rsidRDefault="00733718" w:rsidP="0068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55E" w:rsidRDefault="0064655E">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3" w:type="dxa"/>
      <w:tblCellMar>
        <w:left w:w="0" w:type="dxa"/>
        <w:right w:w="0" w:type="dxa"/>
      </w:tblCellMar>
      <w:tblLook w:val="04A0" w:firstRow="1" w:lastRow="0" w:firstColumn="1" w:lastColumn="0" w:noHBand="0" w:noVBand="1"/>
    </w:tblPr>
    <w:tblGrid>
      <w:gridCol w:w="4533"/>
      <w:gridCol w:w="4840"/>
    </w:tblGrid>
    <w:tr w:rsidR="00AA50BF" w:rsidTr="008079DF">
      <w:trPr>
        <w:trHeight w:val="966"/>
      </w:trPr>
      <w:tc>
        <w:tcPr>
          <w:tcW w:w="4533" w:type="dxa"/>
        </w:tcPr>
        <w:p w:rsidR="00E77781" w:rsidRPr="00683473" w:rsidRDefault="00AA50BF" w:rsidP="00683473">
          <w:pPr>
            <w:pStyle w:val="FuzeileName"/>
          </w:pPr>
          <w:r>
            <w:t>Kompetenzzentrum Selbstbestimmt Leben</w:t>
          </w:r>
          <w:r>
            <w:br/>
          </w:r>
          <w:r w:rsidR="00822CA3" w:rsidRPr="00822CA3">
            <w:t xml:space="preserve">für </w:t>
          </w:r>
          <w:r w:rsidR="00E6695F">
            <w:t>Menschen mit Sinnesbehinderung</w:t>
          </w:r>
        </w:p>
        <w:p w:rsidR="00AA50BF" w:rsidRPr="00683473" w:rsidRDefault="00822CA3" w:rsidP="00683473">
          <w:pPr>
            <w:pStyle w:val="FuzeileAdresse"/>
          </w:pPr>
          <w:r w:rsidRPr="00822CA3">
            <w:t>Hollestraße 1</w:t>
          </w:r>
          <w:r>
            <w:t xml:space="preserve"> </w:t>
          </w:r>
          <w:r w:rsidRPr="00683473">
            <w:rPr>
              <w:rStyle w:val="PunktZchn"/>
            </w:rPr>
            <w:t>■</w:t>
          </w:r>
          <w:r w:rsidRPr="00683473">
            <w:t xml:space="preserve"> </w:t>
          </w:r>
          <w:r w:rsidRPr="00822CA3">
            <w:t>45127 Essen</w:t>
          </w:r>
        </w:p>
      </w:tc>
      <w:tc>
        <w:tcPr>
          <w:tcW w:w="4840" w:type="dxa"/>
        </w:tcPr>
        <w:p w:rsidR="00AA50BF" w:rsidRPr="00683473" w:rsidRDefault="00AA50BF" w:rsidP="00683473">
          <w:pPr>
            <w:pStyle w:val="SeitenzahlKSL"/>
          </w:pPr>
          <w:r w:rsidRPr="00495700">
            <w:t xml:space="preserve">Seite </w:t>
          </w:r>
          <w:r w:rsidRPr="00683473">
            <w:fldChar w:fldCharType="begin"/>
          </w:r>
          <w:r w:rsidRPr="00683473">
            <w:instrText>PAGE  \* Arabic  \* MERGEFORMAT</w:instrText>
          </w:r>
          <w:r w:rsidRPr="00683473">
            <w:fldChar w:fldCharType="separate"/>
          </w:r>
          <w:r w:rsidR="001D03A1">
            <w:rPr>
              <w:noProof/>
            </w:rPr>
            <w:t>2</w:t>
          </w:r>
          <w:r w:rsidRPr="00683473">
            <w:fldChar w:fldCharType="end"/>
          </w:r>
          <w:r w:rsidRPr="00683473">
            <w:t xml:space="preserve"> von </w:t>
          </w:r>
          <w:r w:rsidR="001D03A1">
            <w:fldChar w:fldCharType="begin"/>
          </w:r>
          <w:r w:rsidR="001D03A1">
            <w:instrText>NUMPAGES  \* Arabic  \* MERGEFORMAT</w:instrText>
          </w:r>
          <w:r w:rsidR="001D03A1">
            <w:fldChar w:fldCharType="separate"/>
          </w:r>
          <w:r w:rsidR="001D03A1">
            <w:rPr>
              <w:noProof/>
            </w:rPr>
            <w:t>4</w:t>
          </w:r>
          <w:r w:rsidR="001D03A1">
            <w:rPr>
              <w:noProof/>
            </w:rPr>
            <w:fldChar w:fldCharType="end"/>
          </w:r>
        </w:p>
        <w:p w:rsidR="00AA50BF" w:rsidRPr="0034226D" w:rsidRDefault="00AA50BF" w:rsidP="00683473">
          <w:pPr>
            <w:pStyle w:val="SeitenzahlKSL"/>
          </w:pPr>
        </w:p>
      </w:tc>
    </w:tr>
  </w:tbl>
  <w:p w:rsidR="00241172" w:rsidRPr="00683473" w:rsidRDefault="00C64C92" w:rsidP="00683473">
    <w:r w:rsidRPr="00683473">
      <w:rPr>
        <w:noProof/>
        <w:lang w:eastAsia="de-DE"/>
      </w:rPr>
      <mc:AlternateContent>
        <mc:Choice Requires="wps">
          <w:drawing>
            <wp:anchor distT="0" distB="0" distL="114300" distR="114300" simplePos="0" relativeHeight="251672576" behindDoc="0" locked="0" layoutInCell="1" allowOverlap="1" wp14:anchorId="6EE2E378" wp14:editId="113D5C05">
              <wp:simplePos x="0" y="0"/>
              <wp:positionH relativeFrom="page">
                <wp:posOffset>0</wp:posOffset>
              </wp:positionH>
              <wp:positionV relativeFrom="page">
                <wp:posOffset>7560945</wp:posOffset>
              </wp:positionV>
              <wp:extent cx="360000" cy="0"/>
              <wp:effectExtent l="0" t="0" r="21590" b="19050"/>
              <wp:wrapNone/>
              <wp:docPr id="22" name="Gerader Verbinder 22" title="Orientierungselement zur Seiteneinteilung"/>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390D16" id="Gerader Verbinder 22" o:spid="_x0000_s1026" alt="Titel: Orientierungselement zur Seiteneinteilung"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" strokecolor="#7f7f7f [1612]" strokeweight=".5pt">
              <v:stroke joinstyle="miter"/>
              <w10:wrap anchorx="page" anchory="page"/>
            </v:line>
          </w:pict>
        </mc:Fallback>
      </mc:AlternateContent>
    </w:r>
    <w:r w:rsidRPr="00683473">
      <w:rPr>
        <w:noProof/>
        <w:lang w:eastAsia="de-DE"/>
      </w:rPr>
      <mc:AlternateContent>
        <mc:Choice Requires="wps">
          <w:drawing>
            <wp:anchor distT="0" distB="0" distL="114300" distR="114300" simplePos="0" relativeHeight="251670528" behindDoc="0" locked="0" layoutInCell="1" allowOverlap="1" wp14:anchorId="79FFF52B" wp14:editId="6B6D6C27">
              <wp:simplePos x="0" y="0"/>
              <wp:positionH relativeFrom="page">
                <wp:posOffset>0</wp:posOffset>
              </wp:positionH>
              <wp:positionV relativeFrom="page">
                <wp:posOffset>5346700</wp:posOffset>
              </wp:positionV>
              <wp:extent cx="540000" cy="0"/>
              <wp:effectExtent l="0" t="0" r="31750" b="19050"/>
              <wp:wrapNone/>
              <wp:docPr id="21" name="Gerader Verbinder 21" title="Orientierungselement"/>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F5D6E2" id="Gerader Verbinder 21" o:spid="_x0000_s1026" alt="Titel: Orientierungselement"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42.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" strokecolor="#7f7f7f [1612]"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73" w:type="dxa"/>
      <w:tblCellMar>
        <w:left w:w="0" w:type="dxa"/>
        <w:right w:w="0" w:type="dxa"/>
      </w:tblCellMar>
      <w:tblLook w:val="04A0" w:firstRow="1" w:lastRow="0" w:firstColumn="1" w:lastColumn="0" w:noHBand="0" w:noVBand="1"/>
    </w:tblPr>
    <w:tblGrid>
      <w:gridCol w:w="4533"/>
      <w:gridCol w:w="4840"/>
    </w:tblGrid>
    <w:tr w:rsidR="00AA50BF" w:rsidTr="008079DF">
      <w:trPr>
        <w:trHeight w:val="966"/>
      </w:trPr>
      <w:tc>
        <w:tcPr>
          <w:tcW w:w="4533" w:type="dxa"/>
        </w:tcPr>
        <w:p w:rsidR="00E77781" w:rsidRPr="00683473" w:rsidRDefault="00AA50BF" w:rsidP="008079DF">
          <w:pPr>
            <w:pStyle w:val="FuzeileName"/>
          </w:pPr>
          <w:r>
            <w:t>Kompetenzzentrum Selbstbestimmt Leben</w:t>
          </w:r>
          <w:r>
            <w:br/>
          </w:r>
          <w:r w:rsidR="00822CA3" w:rsidRPr="00822CA3">
            <w:t xml:space="preserve">für </w:t>
          </w:r>
          <w:r w:rsidR="002F6BE1">
            <w:t>Menschen mit Sinnesbehinderung</w:t>
          </w:r>
        </w:p>
        <w:p w:rsidR="00AA50BF" w:rsidRPr="00683473" w:rsidRDefault="00822CA3" w:rsidP="008079DF">
          <w:pPr>
            <w:pStyle w:val="FuzeileAdresse"/>
          </w:pPr>
          <w:r w:rsidRPr="00822CA3">
            <w:t>Hollestraße 1</w:t>
          </w:r>
          <w:r>
            <w:t xml:space="preserve"> </w:t>
          </w:r>
          <w:r w:rsidR="00AA50BF" w:rsidRPr="00683473">
            <w:rPr>
              <w:rStyle w:val="PunktZchn"/>
            </w:rPr>
            <w:t>■</w:t>
          </w:r>
          <w:r w:rsidR="00AA50BF" w:rsidRPr="00683473">
            <w:t xml:space="preserve"> </w:t>
          </w:r>
          <w:r w:rsidRPr="00822CA3">
            <w:t>45127 Essen</w:t>
          </w:r>
        </w:p>
      </w:tc>
      <w:tc>
        <w:tcPr>
          <w:tcW w:w="4840" w:type="dxa"/>
        </w:tcPr>
        <w:p w:rsidR="00AA50BF" w:rsidRPr="00C46988" w:rsidRDefault="00376BB7" w:rsidP="00376BB7">
          <w:pPr>
            <w:pStyle w:val="12ptFlietextKSL"/>
          </w:pPr>
          <w:r w:rsidRPr="00EB46D4">
            <w:rPr>
              <w:rFonts w:ascii="Verdana" w:eastAsia="Calibri" w:hAnsi="Verdana" w:cs="Times New Roman"/>
              <w:noProof/>
              <w:lang w:val="de-DE" w:eastAsia="de-DE"/>
            </w:rPr>
            <w:drawing>
              <wp:anchor distT="0" distB="0" distL="114300" distR="114300" simplePos="0" relativeHeight="251685888" behindDoc="1" locked="0" layoutInCell="1" allowOverlap="1" wp14:anchorId="21ABD828" wp14:editId="58904BB9">
                <wp:simplePos x="0" y="0"/>
                <wp:positionH relativeFrom="column">
                  <wp:posOffset>221615</wp:posOffset>
                </wp:positionH>
                <wp:positionV relativeFrom="paragraph">
                  <wp:posOffset>62865</wp:posOffset>
                </wp:positionV>
                <wp:extent cx="2762250" cy="460375"/>
                <wp:effectExtent l="0" t="0" r="0" b="0"/>
                <wp:wrapNone/>
                <wp:docPr id="3" name="Grafik 3" descr="Logo der Europäischen Union, des Europäischen Sozialfonds und dem Ministerium für Arbeit, Gesundheit und Soziales des Landes Nordrhein-Westfalen." title="Logos der Förd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369" t="37919" r="17163" b="40623"/>
                        <a:stretch/>
                      </pic:blipFill>
                      <pic:spPr bwMode="auto">
                        <a:xfrm>
                          <a:off x="0" y="0"/>
                          <a:ext cx="2762250" cy="460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988">
            <w:tab/>
          </w:r>
        </w:p>
      </w:tc>
    </w:tr>
  </w:tbl>
  <w:p w:rsidR="0034226D" w:rsidRPr="00683473" w:rsidRDefault="00672303" w:rsidP="00683473">
    <w:r w:rsidRPr="00683473">
      <w:rPr>
        <w:noProof/>
        <w:lang w:eastAsia="de-DE"/>
      </w:rPr>
      <mc:AlternateContent>
        <mc:Choice Requires="wps">
          <w:drawing>
            <wp:anchor distT="0" distB="0" distL="114300" distR="114300" simplePos="0" relativeHeight="251681792" behindDoc="0" locked="0" layoutInCell="1" allowOverlap="1" wp14:anchorId="3C3995B9" wp14:editId="0831BA0B">
              <wp:simplePos x="0" y="0"/>
              <wp:positionH relativeFrom="page">
                <wp:posOffset>0</wp:posOffset>
              </wp:positionH>
              <wp:positionV relativeFrom="page">
                <wp:posOffset>5346700</wp:posOffset>
              </wp:positionV>
              <wp:extent cx="540000" cy="0"/>
              <wp:effectExtent l="0" t="0" r="31750" b="19050"/>
              <wp:wrapNone/>
              <wp:docPr id="10" name="Gerader Verbinder 10" title="Orientierungselement zur Einteilung der Seite"/>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1D7146" id="Gerader Verbinder 10" o:spid="_x0000_s1026" alt="Titel: Orientierungselement zur Einteilung der Seite"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42.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" strokecolor="#7f7f7f [1612]" strokeweight=".5pt">
              <v:stroke joinstyle="miter"/>
              <w10:wrap anchorx="page" anchory="page"/>
            </v:line>
          </w:pict>
        </mc:Fallback>
      </mc:AlternateContent>
    </w:r>
    <w:r w:rsidRPr="00683473">
      <w:rPr>
        <w:noProof/>
        <w:lang w:eastAsia="de-DE"/>
      </w:rPr>
      <mc:AlternateContent>
        <mc:Choice Requires="wps">
          <w:drawing>
            <wp:anchor distT="0" distB="0" distL="114300" distR="114300" simplePos="0" relativeHeight="251682816" behindDoc="0" locked="0" layoutInCell="1" allowOverlap="1" wp14:anchorId="76BAF7AF" wp14:editId="7DBCDD8C">
              <wp:simplePos x="0" y="0"/>
              <wp:positionH relativeFrom="page">
                <wp:posOffset>0</wp:posOffset>
              </wp:positionH>
              <wp:positionV relativeFrom="page">
                <wp:posOffset>7560945</wp:posOffset>
              </wp:positionV>
              <wp:extent cx="360000" cy="0"/>
              <wp:effectExtent l="0" t="0" r="21590" b="19050"/>
              <wp:wrapNone/>
              <wp:docPr id="11" name="Gerader Verbinder 11" title="Orientierungselement zur Einteilung der Seite"/>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B3D72" id="Gerader Verbinder 11" o:spid="_x0000_s1026" alt="Titel: Orientierungselement zur Einteilung der Seite"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" strokecolor="#7f7f7f [1612]"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718" w:rsidRPr="00683473" w:rsidRDefault="00733718" w:rsidP="00683473">
      <w:r>
        <w:separator/>
      </w:r>
    </w:p>
  </w:footnote>
  <w:footnote w:type="continuationSeparator" w:id="0">
    <w:p w:rsidR="00733718" w:rsidRPr="00683473" w:rsidRDefault="00733718" w:rsidP="0068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55E" w:rsidRDefault="0064655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172" w:rsidRPr="00683473" w:rsidRDefault="00D30EC1" w:rsidP="00683473">
    <w:r w:rsidRPr="00683473">
      <w:rPr>
        <w:noProof/>
        <w:lang w:eastAsia="de-DE"/>
      </w:rPr>
      <w:drawing>
        <wp:anchor distT="0" distB="0" distL="114300" distR="114300" simplePos="0" relativeHeight="251675648" behindDoc="0" locked="0" layoutInCell="1" allowOverlap="1" wp14:anchorId="2E8CAC4D" wp14:editId="65BAC7C2">
          <wp:simplePos x="0" y="0"/>
          <wp:positionH relativeFrom="page">
            <wp:posOffset>3756863</wp:posOffset>
          </wp:positionH>
          <wp:positionV relativeFrom="page">
            <wp:posOffset>358140</wp:posOffset>
          </wp:positionV>
          <wp:extent cx="3453994" cy="1007745"/>
          <wp:effectExtent l="0" t="0" r="0" b="1905"/>
          <wp:wrapThrough wrapText="bothSides">
            <wp:wrapPolygon edited="0">
              <wp:start x="0" y="0"/>
              <wp:lineTo x="0" y="21233"/>
              <wp:lineTo x="21445" y="21233"/>
              <wp:lineTo x="21445" y="0"/>
              <wp:lineTo x="0" y="0"/>
            </wp:wrapPolygon>
          </wp:wrapThrough>
          <wp:docPr id="15" name="Grafik 15" descr="Das Logo übernimmt die Bildmarke des Aktionsplans der Landesregierung „Eine Gesellschaft für alle – NRW inklusiv”. Die Bildmarke wird umrahmt von zwei nicht geschlossenen Kreisen. " title="Logo des Kompetenzzentrums Selbstbestimmt Leben (KSL) für Menschen mit Sinnesbehinderung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L_MeSi.jpg"/>
                  <pic:cNvPicPr/>
                </pic:nvPicPr>
                <pic:blipFill>
                  <a:blip r:embed="rId1">
                    <a:extLst>
                      <a:ext uri="{28A0092B-C50C-407E-A947-70E740481C1C}">
                        <a14:useLocalDpi xmlns:a14="http://schemas.microsoft.com/office/drawing/2010/main" val="0"/>
                      </a:ext>
                    </a:extLst>
                  </a:blip>
                  <a:stretch>
                    <a:fillRect/>
                  </a:stretch>
                </pic:blipFill>
                <pic:spPr>
                  <a:xfrm>
                    <a:off x="0" y="0"/>
                    <a:ext cx="3453994" cy="1007745"/>
                  </a:xfrm>
                  <a:prstGeom prst="rect">
                    <a:avLst/>
                  </a:prstGeom>
                </pic:spPr>
              </pic:pic>
            </a:graphicData>
          </a:graphic>
          <wp14:sizeRelH relativeFrom="margin">
            <wp14:pctWidth>0</wp14:pctWidth>
          </wp14:sizeRelH>
          <wp14:sizeRelV relativeFrom="margin">
            <wp14:pctHeight>0</wp14:pctHeight>
          </wp14:sizeRelV>
        </wp:anchor>
      </w:drawing>
    </w:r>
    <w:r w:rsidR="000C77EA" w:rsidRPr="00683473">
      <w:rPr>
        <w:noProof/>
        <w:lang w:eastAsia="de-DE"/>
      </w:rPr>
      <mc:AlternateContent>
        <mc:Choice Requires="wps">
          <w:drawing>
            <wp:anchor distT="0" distB="0" distL="114300" distR="114300" simplePos="0" relativeHeight="251661312" behindDoc="0" locked="0" layoutInCell="1" allowOverlap="1" wp14:anchorId="498E49BF" wp14:editId="72B01048">
              <wp:simplePos x="0" y="0"/>
              <wp:positionH relativeFrom="page">
                <wp:posOffset>900430</wp:posOffset>
              </wp:positionH>
              <wp:positionV relativeFrom="page">
                <wp:posOffset>731520</wp:posOffset>
              </wp:positionV>
              <wp:extent cx="2700000" cy="0"/>
              <wp:effectExtent l="0" t="0" r="24765" b="19050"/>
              <wp:wrapNone/>
              <wp:docPr id="12" name="Gerader Verbinder 12" descr="gerader Strich - der zum Logo hinführt" title="Gestaltungselement"/>
              <wp:cNvGraphicFramePr/>
              <a:graphic xmlns:a="http://schemas.openxmlformats.org/drawingml/2006/main">
                <a:graphicData uri="http://schemas.microsoft.com/office/word/2010/wordprocessingShape">
                  <wps:wsp>
                    <wps:cNvCnPr/>
                    <wps:spPr>
                      <a:xfrm>
                        <a:off x="0" y="0"/>
                        <a:ext cx="2700000" cy="0"/>
                      </a:xfrm>
                      <a:prstGeom prst="line">
                        <a:avLst/>
                      </a:prstGeom>
                      <a:ln w="12700">
                        <a:solidFill>
                          <a:srgbClr val="003E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07534" id="Gerader Verbinder 12" o:spid="_x0000_s1026" alt="Titel: Gestaltungselement - Beschreibung: gerader Strich - der zum Logo hinführ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57.6pt" to="283.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" strokecolor="#003e90" strokeweight="1pt">
              <v:stroke joinstyle="miter"/>
              <w10:wrap anchorx="page" anchory="page"/>
            </v:line>
          </w:pict>
        </mc:Fallback>
      </mc:AlternateContent>
    </w:r>
    <w:r w:rsidR="00C64C92" w:rsidRPr="00683473">
      <w:rPr>
        <w:noProof/>
        <w:lang w:eastAsia="de-DE"/>
      </w:rPr>
      <mc:AlternateContent>
        <mc:Choice Requires="wps">
          <w:drawing>
            <wp:anchor distT="0" distB="0" distL="114300" distR="114300" simplePos="0" relativeHeight="251674624" behindDoc="0" locked="0" layoutInCell="1" allowOverlap="1" wp14:anchorId="676D8993" wp14:editId="7043AA23">
              <wp:simplePos x="0" y="0"/>
              <wp:positionH relativeFrom="page">
                <wp:posOffset>0</wp:posOffset>
              </wp:positionH>
              <wp:positionV relativeFrom="page">
                <wp:posOffset>3780790</wp:posOffset>
              </wp:positionV>
              <wp:extent cx="360000" cy="0"/>
              <wp:effectExtent l="0" t="0" r="21590" b="19050"/>
              <wp:wrapNone/>
              <wp:docPr id="23" name="Gerader Verbinder 23" title="Orientierungselement zur Seiteneinteilung"/>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DD50F" id="Gerader Verbinder 23" o:spid="_x0000_s1026" alt="Titel: Orientierungselement zur Seiteneinteilung"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" strokecolor="#7f7f7f [1612]" strokeweight=".5pt">
              <v:stroke joinstyle="miter"/>
              <w10:wrap anchorx="page" anchory="page"/>
            </v:line>
          </w:pict>
        </mc:Fallback>
      </mc:AlternateContent>
    </w:r>
    <w:r w:rsidR="000C77EA" w:rsidRPr="00683473">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AB" w:rsidRDefault="004D17AB" w:rsidP="00683473"/>
  <w:p w:rsidR="00AA50BF" w:rsidRPr="00683473" w:rsidRDefault="001A77C8" w:rsidP="00C33BF9">
    <w:pPr>
      <w:pStyle w:val="Rcksendeadresse"/>
      <w:framePr w:hSpace="0" w:wrap="auto" w:vAnchor="margin" w:hAnchor="text" w:yAlign="inline"/>
      <w:spacing w:before="0"/>
    </w:pPr>
    <w:r w:rsidRPr="00683473">
      <w:rPr>
        <w:noProof/>
        <w:lang w:eastAsia="de-DE"/>
      </w:rPr>
      <w:drawing>
        <wp:anchor distT="0" distB="0" distL="114300" distR="114300" simplePos="0" relativeHeight="251678720" behindDoc="0" locked="0" layoutInCell="1" allowOverlap="1" wp14:anchorId="0B453A30" wp14:editId="79D60CA4">
          <wp:simplePos x="0" y="0"/>
          <wp:positionH relativeFrom="page">
            <wp:posOffset>3753437</wp:posOffset>
          </wp:positionH>
          <wp:positionV relativeFrom="page">
            <wp:posOffset>358140</wp:posOffset>
          </wp:positionV>
          <wp:extent cx="3453994" cy="1007744"/>
          <wp:effectExtent l="0" t="0" r="0" b="2540"/>
          <wp:wrapThrough wrapText="bothSides">
            <wp:wrapPolygon edited="0">
              <wp:start x="0" y="0"/>
              <wp:lineTo x="0" y="21246"/>
              <wp:lineTo x="21445" y="21246"/>
              <wp:lineTo x="21445" y="0"/>
              <wp:lineTo x="0" y="0"/>
            </wp:wrapPolygon>
          </wp:wrapThrough>
          <wp:docPr id="16" name="Grafik 16" descr="Das Logo übernimmt die Bildmarke des Aktionsplans der Landesregierung „Eine Gesellschaft für alle – NRW inklusiv”. Die Bildmarke wird umrahmt von zwei nicht geschlossenen Kreisen. " title="Logo des Kompetenzzentrums Selbstbestimmt Leben (KSL) für Menschen mit Sinnesbehinderung N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L_MeSi.jpg"/>
                  <pic:cNvPicPr/>
                </pic:nvPicPr>
                <pic:blipFill>
                  <a:blip r:embed="rId1">
                    <a:extLst>
                      <a:ext uri="{28A0092B-C50C-407E-A947-70E740481C1C}">
                        <a14:useLocalDpi xmlns:a14="http://schemas.microsoft.com/office/drawing/2010/main" val="0"/>
                      </a:ext>
                    </a:extLst>
                  </a:blip>
                  <a:stretch>
                    <a:fillRect/>
                  </a:stretch>
                </pic:blipFill>
                <pic:spPr>
                  <a:xfrm>
                    <a:off x="0" y="0"/>
                    <a:ext cx="3453994" cy="1007744"/>
                  </a:xfrm>
                  <a:prstGeom prst="rect">
                    <a:avLst/>
                  </a:prstGeom>
                </pic:spPr>
              </pic:pic>
            </a:graphicData>
          </a:graphic>
          <wp14:sizeRelH relativeFrom="margin">
            <wp14:pctWidth>0</wp14:pctWidth>
          </wp14:sizeRelH>
          <wp14:sizeRelV relativeFrom="margin">
            <wp14:pctHeight>0</wp14:pctHeight>
          </wp14:sizeRelV>
        </wp:anchor>
      </w:drawing>
    </w:r>
    <w:r w:rsidR="00672303" w:rsidRPr="00683473">
      <w:rPr>
        <w:noProof/>
        <w:lang w:eastAsia="de-DE"/>
      </w:rPr>
      <mc:AlternateContent>
        <mc:Choice Requires="wps">
          <w:drawing>
            <wp:anchor distT="0" distB="0" distL="114300" distR="114300" simplePos="0" relativeHeight="251683840" behindDoc="0" locked="0" layoutInCell="1" allowOverlap="1" wp14:anchorId="23AFDB2D" wp14:editId="2C7820E5">
              <wp:simplePos x="0" y="0"/>
              <wp:positionH relativeFrom="page">
                <wp:posOffset>0</wp:posOffset>
              </wp:positionH>
              <wp:positionV relativeFrom="page">
                <wp:posOffset>3780790</wp:posOffset>
              </wp:positionV>
              <wp:extent cx="360000" cy="0"/>
              <wp:effectExtent l="0" t="0" r="21590" b="19050"/>
              <wp:wrapNone/>
              <wp:docPr id="13" name="Gerader Verbinder 13" title="Orientierungselement zur Einteilung der Seite"/>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B5229" id="Gerader Verbinder 13" o:spid="_x0000_s1026" alt="Titel: Orientierungselement zur Einteilung der Seite" style="position:absolute;z-index:2516838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" strokecolor="#7f7f7f [1612]" strokeweight=".5pt">
              <v:stroke joinstyle="miter"/>
              <w10:wrap anchorx="page" anchory="page"/>
            </v:line>
          </w:pict>
        </mc:Fallback>
      </mc:AlternateContent>
    </w:r>
    <w:r w:rsidR="00AA50BF" w:rsidRPr="00683473">
      <w:rPr>
        <w:noProof/>
        <w:lang w:eastAsia="de-DE"/>
      </w:rPr>
      <mc:AlternateContent>
        <mc:Choice Requires="wps">
          <w:drawing>
            <wp:anchor distT="0" distB="0" distL="114300" distR="114300" simplePos="0" relativeHeight="251677696" behindDoc="0" locked="0" layoutInCell="1" allowOverlap="1" wp14:anchorId="1792B8FA" wp14:editId="72CF02BE">
              <wp:simplePos x="0" y="0"/>
              <wp:positionH relativeFrom="page">
                <wp:posOffset>900430</wp:posOffset>
              </wp:positionH>
              <wp:positionV relativeFrom="page">
                <wp:posOffset>730885</wp:posOffset>
              </wp:positionV>
              <wp:extent cx="2700000" cy="0"/>
              <wp:effectExtent l="0" t="0" r="24765" b="19050"/>
              <wp:wrapNone/>
              <wp:docPr id="8" name="Gerader Verbinder 8" descr="Telefon " title="Kontakt "/>
              <wp:cNvGraphicFramePr/>
              <a:graphic xmlns:a="http://schemas.openxmlformats.org/drawingml/2006/main">
                <a:graphicData uri="http://schemas.microsoft.com/office/word/2010/wordprocessingShape">
                  <wps:wsp>
                    <wps:cNvCnPr/>
                    <wps:spPr>
                      <a:xfrm>
                        <a:off x="0" y="0"/>
                        <a:ext cx="2700000" cy="0"/>
                      </a:xfrm>
                      <a:prstGeom prst="line">
                        <a:avLst/>
                      </a:prstGeom>
                      <a:ln w="12700">
                        <a:solidFill>
                          <a:srgbClr val="003E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11F04" id="Gerader Verbinder 8" o:spid="_x0000_s1026" alt="Titel: Kontakt  - Beschreibung: Telefon "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57.55pt" to="283.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" strokecolor="#003e90" strokeweight="1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3B0"/>
    <w:multiLevelType w:val="hybridMultilevel"/>
    <w:tmpl w:val="E064DCD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32E66E8"/>
    <w:multiLevelType w:val="hybridMultilevel"/>
    <w:tmpl w:val="381049CC"/>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 w15:restartNumberingAfterBreak="0">
    <w:nsid w:val="43CB730A"/>
    <w:multiLevelType w:val="hybridMultilevel"/>
    <w:tmpl w:val="901E590E"/>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4B3503D9"/>
    <w:multiLevelType w:val="hybridMultilevel"/>
    <w:tmpl w:val="7B90B4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CC00EB"/>
    <w:multiLevelType w:val="hybridMultilevel"/>
    <w:tmpl w:val="D59C8352"/>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5" w15:restartNumberingAfterBreak="0">
    <w:nsid w:val="55515CFE"/>
    <w:multiLevelType w:val="hybridMultilevel"/>
    <w:tmpl w:val="9E98D6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5E20753"/>
    <w:multiLevelType w:val="hybridMultilevel"/>
    <w:tmpl w:val="68A875B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9C93845"/>
    <w:multiLevelType w:val="hybridMultilevel"/>
    <w:tmpl w:val="44643E9C"/>
    <w:lvl w:ilvl="0" w:tplc="77B0F80C">
      <w:start w:val="1"/>
      <w:numFmt w:val="decimal"/>
      <w:lvlText w:val="%1."/>
      <w:lvlJc w:val="left"/>
      <w:pPr>
        <w:ind w:left="360" w:hanging="360"/>
      </w:pPr>
      <w:rPr>
        <w:rFonts w:ascii="Arial" w:eastAsia="Times New Roman" w:hAnsi="Arial" w:cs="Arial"/>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8" w15:restartNumberingAfterBreak="0">
    <w:nsid w:val="73D86D6B"/>
    <w:multiLevelType w:val="hybridMultilevel"/>
    <w:tmpl w:val="BE566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80414E2"/>
    <w:multiLevelType w:val="hybridMultilevel"/>
    <w:tmpl w:val="C452EEF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F7A4BCC"/>
    <w:multiLevelType w:val="hybridMultilevel"/>
    <w:tmpl w:val="3C32C38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9"/>
  </w:num>
  <w:num w:numId="3">
    <w:abstractNumId w:val="0"/>
  </w:num>
  <w:num w:numId="4">
    <w:abstractNumId w:val="3"/>
  </w:num>
  <w:num w:numId="5">
    <w:abstractNumId w:val="2"/>
  </w:num>
  <w:num w:numId="6">
    <w:abstractNumId w:val="1"/>
  </w:num>
  <w:num w:numId="7">
    <w:abstractNumId w:val="7"/>
  </w:num>
  <w:num w:numId="8">
    <w:abstractNumId w:val="4"/>
  </w:num>
  <w:num w:numId="9">
    <w:abstractNumId w:val="10"/>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8"/>
  <w:hyphenationZone w:val="425"/>
  <w:drawingGridHorizontalSpacing w:val="403"/>
  <w:drawingGridVerticalSpacing w:val="403"/>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08"/>
    <w:rsid w:val="00002A10"/>
    <w:rsid w:val="000246D2"/>
    <w:rsid w:val="00040038"/>
    <w:rsid w:val="0006077A"/>
    <w:rsid w:val="00074E49"/>
    <w:rsid w:val="000771B1"/>
    <w:rsid w:val="000A6756"/>
    <w:rsid w:val="000A700F"/>
    <w:rsid w:val="000B1A76"/>
    <w:rsid w:val="000B6C3D"/>
    <w:rsid w:val="000C77EA"/>
    <w:rsid w:val="000D2286"/>
    <w:rsid w:val="000D51F6"/>
    <w:rsid w:val="000E61A0"/>
    <w:rsid w:val="000F075A"/>
    <w:rsid w:val="0010060C"/>
    <w:rsid w:val="001305B3"/>
    <w:rsid w:val="00130A75"/>
    <w:rsid w:val="00155463"/>
    <w:rsid w:val="00164102"/>
    <w:rsid w:val="00166536"/>
    <w:rsid w:val="0017526E"/>
    <w:rsid w:val="00182291"/>
    <w:rsid w:val="0018542A"/>
    <w:rsid w:val="00190704"/>
    <w:rsid w:val="001A00BB"/>
    <w:rsid w:val="001A77C8"/>
    <w:rsid w:val="001B2E8E"/>
    <w:rsid w:val="001B476E"/>
    <w:rsid w:val="001B4B18"/>
    <w:rsid w:val="001B5D41"/>
    <w:rsid w:val="001C75E0"/>
    <w:rsid w:val="001D03A1"/>
    <w:rsid w:val="001D4C77"/>
    <w:rsid w:val="00206BDC"/>
    <w:rsid w:val="002174D8"/>
    <w:rsid w:val="00230C37"/>
    <w:rsid w:val="00234BF7"/>
    <w:rsid w:val="00241172"/>
    <w:rsid w:val="00241B3A"/>
    <w:rsid w:val="002632ED"/>
    <w:rsid w:val="00283D9C"/>
    <w:rsid w:val="002932D0"/>
    <w:rsid w:val="002B64F5"/>
    <w:rsid w:val="002D5288"/>
    <w:rsid w:val="002F24EC"/>
    <w:rsid w:val="002F3AC4"/>
    <w:rsid w:val="002F5BD0"/>
    <w:rsid w:val="002F6BE1"/>
    <w:rsid w:val="00303D10"/>
    <w:rsid w:val="00306198"/>
    <w:rsid w:val="00324484"/>
    <w:rsid w:val="00327126"/>
    <w:rsid w:val="0034188F"/>
    <w:rsid w:val="0034226D"/>
    <w:rsid w:val="00376BB7"/>
    <w:rsid w:val="00391DCA"/>
    <w:rsid w:val="003C4DBA"/>
    <w:rsid w:val="003C76BB"/>
    <w:rsid w:val="003D0D09"/>
    <w:rsid w:val="003D1BD9"/>
    <w:rsid w:val="003E365D"/>
    <w:rsid w:val="003E5B49"/>
    <w:rsid w:val="003F065C"/>
    <w:rsid w:val="003F7B13"/>
    <w:rsid w:val="00414D4A"/>
    <w:rsid w:val="0044003B"/>
    <w:rsid w:val="00443D90"/>
    <w:rsid w:val="00451224"/>
    <w:rsid w:val="00453C8F"/>
    <w:rsid w:val="00495700"/>
    <w:rsid w:val="00497FFC"/>
    <w:rsid w:val="004C537C"/>
    <w:rsid w:val="004D17AB"/>
    <w:rsid w:val="005216BA"/>
    <w:rsid w:val="00530D23"/>
    <w:rsid w:val="0053247D"/>
    <w:rsid w:val="00532D8A"/>
    <w:rsid w:val="00536943"/>
    <w:rsid w:val="00552E02"/>
    <w:rsid w:val="0055616C"/>
    <w:rsid w:val="005574F9"/>
    <w:rsid w:val="00561FB2"/>
    <w:rsid w:val="005723B7"/>
    <w:rsid w:val="00575C31"/>
    <w:rsid w:val="00590B76"/>
    <w:rsid w:val="005D020A"/>
    <w:rsid w:val="005E15CF"/>
    <w:rsid w:val="005F0A7B"/>
    <w:rsid w:val="00615BB8"/>
    <w:rsid w:val="00643569"/>
    <w:rsid w:val="00645162"/>
    <w:rsid w:val="0064655E"/>
    <w:rsid w:val="00656BE8"/>
    <w:rsid w:val="00671273"/>
    <w:rsid w:val="00672303"/>
    <w:rsid w:val="006727D0"/>
    <w:rsid w:val="00683473"/>
    <w:rsid w:val="006867CA"/>
    <w:rsid w:val="00686F23"/>
    <w:rsid w:val="006925B8"/>
    <w:rsid w:val="00694FCE"/>
    <w:rsid w:val="006A0D78"/>
    <w:rsid w:val="006A5790"/>
    <w:rsid w:val="006A631E"/>
    <w:rsid w:val="006B21C0"/>
    <w:rsid w:val="006C4864"/>
    <w:rsid w:val="006C74D8"/>
    <w:rsid w:val="006D25C3"/>
    <w:rsid w:val="006E6333"/>
    <w:rsid w:val="007004F5"/>
    <w:rsid w:val="00703D3E"/>
    <w:rsid w:val="00732254"/>
    <w:rsid w:val="00733718"/>
    <w:rsid w:val="0076440E"/>
    <w:rsid w:val="007909A4"/>
    <w:rsid w:val="00794643"/>
    <w:rsid w:val="007C4DB9"/>
    <w:rsid w:val="007C5731"/>
    <w:rsid w:val="007C7CF1"/>
    <w:rsid w:val="007D1356"/>
    <w:rsid w:val="007F78B4"/>
    <w:rsid w:val="00805FCD"/>
    <w:rsid w:val="008079DF"/>
    <w:rsid w:val="00822CA3"/>
    <w:rsid w:val="00871A70"/>
    <w:rsid w:val="00873AD0"/>
    <w:rsid w:val="00880134"/>
    <w:rsid w:val="00884FAC"/>
    <w:rsid w:val="008D36EA"/>
    <w:rsid w:val="009406AE"/>
    <w:rsid w:val="00945822"/>
    <w:rsid w:val="0095219F"/>
    <w:rsid w:val="009655CF"/>
    <w:rsid w:val="009665ED"/>
    <w:rsid w:val="00976528"/>
    <w:rsid w:val="009772F3"/>
    <w:rsid w:val="009909EA"/>
    <w:rsid w:val="00992FD6"/>
    <w:rsid w:val="0099368C"/>
    <w:rsid w:val="009B24BD"/>
    <w:rsid w:val="009E3493"/>
    <w:rsid w:val="00A021D4"/>
    <w:rsid w:val="00A25366"/>
    <w:rsid w:val="00A31B7B"/>
    <w:rsid w:val="00A429A6"/>
    <w:rsid w:val="00A818D4"/>
    <w:rsid w:val="00AA50BF"/>
    <w:rsid w:val="00AC5D3C"/>
    <w:rsid w:val="00B00DE7"/>
    <w:rsid w:val="00B268A9"/>
    <w:rsid w:val="00B40265"/>
    <w:rsid w:val="00B47368"/>
    <w:rsid w:val="00B55208"/>
    <w:rsid w:val="00B55CE4"/>
    <w:rsid w:val="00B563DD"/>
    <w:rsid w:val="00B64E45"/>
    <w:rsid w:val="00B81304"/>
    <w:rsid w:val="00BA101A"/>
    <w:rsid w:val="00BA183C"/>
    <w:rsid w:val="00BC3871"/>
    <w:rsid w:val="00BD53C6"/>
    <w:rsid w:val="00BE4B11"/>
    <w:rsid w:val="00BF5FA9"/>
    <w:rsid w:val="00C17E01"/>
    <w:rsid w:val="00C33BF9"/>
    <w:rsid w:val="00C37D2F"/>
    <w:rsid w:val="00C43F59"/>
    <w:rsid w:val="00C46988"/>
    <w:rsid w:val="00C5409F"/>
    <w:rsid w:val="00C64C92"/>
    <w:rsid w:val="00CA4C36"/>
    <w:rsid w:val="00CB4CFF"/>
    <w:rsid w:val="00CB60CE"/>
    <w:rsid w:val="00CD5466"/>
    <w:rsid w:val="00CD626B"/>
    <w:rsid w:val="00CD65F6"/>
    <w:rsid w:val="00CE524A"/>
    <w:rsid w:val="00CF626A"/>
    <w:rsid w:val="00D0499D"/>
    <w:rsid w:val="00D07965"/>
    <w:rsid w:val="00D30EC1"/>
    <w:rsid w:val="00D35A98"/>
    <w:rsid w:val="00D37291"/>
    <w:rsid w:val="00D47BB0"/>
    <w:rsid w:val="00D5010C"/>
    <w:rsid w:val="00D52356"/>
    <w:rsid w:val="00D604B3"/>
    <w:rsid w:val="00D70AB6"/>
    <w:rsid w:val="00D86E80"/>
    <w:rsid w:val="00D95B74"/>
    <w:rsid w:val="00D96FCF"/>
    <w:rsid w:val="00DA1C1C"/>
    <w:rsid w:val="00DA5C23"/>
    <w:rsid w:val="00DA6F81"/>
    <w:rsid w:val="00DB6C7A"/>
    <w:rsid w:val="00DC19B9"/>
    <w:rsid w:val="00DE1E76"/>
    <w:rsid w:val="00E003C7"/>
    <w:rsid w:val="00E0153F"/>
    <w:rsid w:val="00E205B0"/>
    <w:rsid w:val="00E26482"/>
    <w:rsid w:val="00E3303E"/>
    <w:rsid w:val="00E458FE"/>
    <w:rsid w:val="00E503CA"/>
    <w:rsid w:val="00E621A8"/>
    <w:rsid w:val="00E6695F"/>
    <w:rsid w:val="00E77781"/>
    <w:rsid w:val="00EC3EAC"/>
    <w:rsid w:val="00EC7607"/>
    <w:rsid w:val="00EE5D26"/>
    <w:rsid w:val="00EF068D"/>
    <w:rsid w:val="00EF2162"/>
    <w:rsid w:val="00F03810"/>
    <w:rsid w:val="00F31CB3"/>
    <w:rsid w:val="00F449D5"/>
    <w:rsid w:val="00F52ACC"/>
    <w:rsid w:val="00F619D6"/>
    <w:rsid w:val="00F628ED"/>
    <w:rsid w:val="00F6783C"/>
    <w:rsid w:val="00F91A41"/>
    <w:rsid w:val="00FA1700"/>
    <w:rsid w:val="00FC2802"/>
    <w:rsid w:val="00FC30B9"/>
    <w:rsid w:val="00FD4D53"/>
    <w:rsid w:val="00FE22CC"/>
    <w:rsid w:val="00FE3D9D"/>
    <w:rsid w:val="00FE5859"/>
    <w:rsid w:val="00FE78D5"/>
    <w:rsid w:val="00FF5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85D80"/>
  <w15:docId w15:val="{7740582E-E3B0-4F16-82A0-8425102A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2F24EC"/>
  </w:style>
  <w:style w:type="paragraph" w:styleId="berschrift2">
    <w:name w:val="heading 2"/>
    <w:basedOn w:val="Standard"/>
    <w:next w:val="Standard"/>
    <w:link w:val="berschrift2Zchn"/>
    <w:uiPriority w:val="9"/>
    <w:semiHidden/>
    <w:unhideWhenUsed/>
    <w:locked/>
    <w:rsid w:val="00656B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locked/>
    <w:rsid w:val="009406AE"/>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rwabsatzalt">
    <w:name w:val="nrw absatz alt"/>
    <w:basedOn w:val="Standard"/>
    <w:uiPriority w:val="99"/>
    <w:locked/>
    <w:rsid w:val="00E621A8"/>
    <w:pPr>
      <w:autoSpaceDE w:val="0"/>
      <w:autoSpaceDN w:val="0"/>
      <w:adjustRightInd w:val="0"/>
      <w:spacing w:after="0" w:line="288" w:lineRule="auto"/>
      <w:ind w:firstLine="227"/>
      <w:textAlignment w:val="center"/>
    </w:pPr>
    <w:rPr>
      <w:rFonts w:ascii="Corbel" w:hAnsi="Corbel" w:cs="Corbel"/>
      <w:color w:val="000000"/>
      <w:sz w:val="20"/>
      <w:szCs w:val="20"/>
    </w:rPr>
  </w:style>
  <w:style w:type="character" w:styleId="Hyperlink">
    <w:name w:val="Hyperlink"/>
    <w:basedOn w:val="Absatz-Standardschriftart"/>
    <w:uiPriority w:val="99"/>
    <w:unhideWhenUsed/>
    <w:locked/>
    <w:rsid w:val="00CD626B"/>
    <w:rPr>
      <w:color w:val="0563C1" w:themeColor="hyperlink"/>
      <w:u w:val="single"/>
    </w:rPr>
  </w:style>
  <w:style w:type="paragraph" w:styleId="Kopfzeile">
    <w:name w:val="header"/>
    <w:basedOn w:val="Standard"/>
    <w:link w:val="KopfzeileZchn"/>
    <w:unhideWhenUsed/>
    <w:locked/>
    <w:rsid w:val="002411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1172"/>
  </w:style>
  <w:style w:type="paragraph" w:styleId="Fuzeile">
    <w:name w:val="footer"/>
    <w:basedOn w:val="Standard"/>
    <w:link w:val="FuzeileZchn"/>
    <w:uiPriority w:val="99"/>
    <w:unhideWhenUsed/>
    <w:locked/>
    <w:rsid w:val="002411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1172"/>
  </w:style>
  <w:style w:type="paragraph" w:customStyle="1" w:styleId="12ptFlietextKSL">
    <w:name w:val="12pt Fließtext KSL"/>
    <w:link w:val="12ptFlietextKSLZchn"/>
    <w:qFormat/>
    <w:rsid w:val="00615BB8"/>
    <w:pPr>
      <w:spacing w:after="0" w:line="404" w:lineRule="exact"/>
    </w:pPr>
    <w:rPr>
      <w:rFonts w:ascii="Arial" w:hAnsi="Arial" w:cs="Arial"/>
      <w:color w:val="000000"/>
      <w:sz w:val="24"/>
      <w:szCs w:val="24"/>
      <w:lang w:val="en-US"/>
    </w:rPr>
  </w:style>
  <w:style w:type="paragraph" w:customStyle="1" w:styleId="Sklein14pt">
    <w:name w:val="ÜS_klein_14 pt"/>
    <w:basedOn w:val="berschrift2"/>
    <w:next w:val="Standard"/>
    <w:link w:val="Sklein14ptZchn"/>
    <w:autoRedefine/>
    <w:locked/>
    <w:rsid w:val="00656BE8"/>
    <w:pPr>
      <w:widowControl w:val="0"/>
      <w:suppressAutoHyphens/>
      <w:autoSpaceDN w:val="0"/>
      <w:spacing w:before="240" w:after="120" w:line="240" w:lineRule="auto"/>
      <w:textAlignment w:val="baseline"/>
    </w:pPr>
    <w:rPr>
      <w:rFonts w:ascii="Arial" w:hAnsi="Arial" w:cs="Mangal"/>
      <w:b/>
      <w:color w:val="003E90"/>
      <w:kern w:val="3"/>
      <w:sz w:val="28"/>
      <w:szCs w:val="23"/>
      <w:lang w:val="en-US" w:eastAsia="zh-CN" w:bidi="hi-IN"/>
    </w:rPr>
  </w:style>
  <w:style w:type="character" w:customStyle="1" w:styleId="EinfacherAbsatzZchn">
    <w:name w:val="[Einfacher Absatz] Zchn"/>
    <w:basedOn w:val="Absatz-Standardschriftart"/>
    <w:link w:val="EinfacherAbsatz"/>
    <w:uiPriority w:val="99"/>
    <w:rsid w:val="00656BE8"/>
    <w:rPr>
      <w:rFonts w:ascii="Minion Pro" w:hAnsi="Minion Pro" w:cs="Minion Pro"/>
      <w:color w:val="000000"/>
      <w:sz w:val="24"/>
      <w:szCs w:val="24"/>
    </w:rPr>
  </w:style>
  <w:style w:type="character" w:customStyle="1" w:styleId="12ptFlietextKSLZchn">
    <w:name w:val="12pt Fließtext KSL Zchn"/>
    <w:basedOn w:val="EinfacherAbsatzZchn"/>
    <w:link w:val="12ptFlietextKSL"/>
    <w:rsid w:val="00615BB8"/>
    <w:rPr>
      <w:rFonts w:ascii="Arial" w:hAnsi="Arial" w:cs="Arial"/>
      <w:color w:val="000000"/>
      <w:sz w:val="24"/>
      <w:szCs w:val="24"/>
      <w:lang w:val="en-US"/>
    </w:rPr>
  </w:style>
  <w:style w:type="character" w:customStyle="1" w:styleId="Sklein14ptZchn">
    <w:name w:val="ÜS_klein_14 pt Zchn"/>
    <w:basedOn w:val="Absatz-Standardschriftart"/>
    <w:link w:val="Sklein14pt"/>
    <w:rsid w:val="00656BE8"/>
    <w:rPr>
      <w:rFonts w:ascii="Arial" w:eastAsiaTheme="majorEastAsia" w:hAnsi="Arial" w:cs="Mangal"/>
      <w:b/>
      <w:color w:val="003E90"/>
      <w:kern w:val="3"/>
      <w:sz w:val="28"/>
      <w:szCs w:val="23"/>
      <w:lang w:val="en-US" w:eastAsia="zh-CN" w:bidi="hi-IN"/>
    </w:rPr>
  </w:style>
  <w:style w:type="character" w:customStyle="1" w:styleId="berschrift2Zchn">
    <w:name w:val="Überschrift 2 Zchn"/>
    <w:basedOn w:val="Absatz-Standardschriftart"/>
    <w:link w:val="berschrift2"/>
    <w:uiPriority w:val="9"/>
    <w:semiHidden/>
    <w:rsid w:val="00656BE8"/>
    <w:rPr>
      <w:rFonts w:asciiTheme="majorHAnsi" w:eastAsiaTheme="majorEastAsia" w:hAnsiTheme="majorHAnsi" w:cstheme="majorBidi"/>
      <w:color w:val="2E74B5" w:themeColor="accent1" w:themeShade="BF"/>
      <w:sz w:val="26"/>
      <w:szCs w:val="26"/>
    </w:rPr>
  </w:style>
  <w:style w:type="paragraph" w:customStyle="1" w:styleId="KontaktadresseKSL">
    <w:name w:val="Kontaktadresse KSL"/>
    <w:link w:val="KontaktadresseKSLZchn"/>
    <w:qFormat/>
    <w:rsid w:val="00D5010C"/>
    <w:pPr>
      <w:spacing w:after="0" w:line="408" w:lineRule="exact"/>
    </w:pPr>
    <w:rPr>
      <w:rFonts w:ascii="Arial" w:hAnsi="Arial" w:cs="Arial"/>
      <w:color w:val="003E90"/>
      <w:sz w:val="24"/>
      <w:szCs w:val="24"/>
    </w:rPr>
  </w:style>
  <w:style w:type="paragraph" w:styleId="Sprechblasentext">
    <w:name w:val="Balloon Text"/>
    <w:basedOn w:val="Standard"/>
    <w:link w:val="SprechblasentextZchn"/>
    <w:uiPriority w:val="99"/>
    <w:semiHidden/>
    <w:unhideWhenUsed/>
    <w:locked/>
    <w:rsid w:val="009E3493"/>
    <w:pPr>
      <w:spacing w:after="0" w:line="240" w:lineRule="auto"/>
    </w:pPr>
    <w:rPr>
      <w:rFonts w:ascii="Segoe UI" w:hAnsi="Segoe UI" w:cs="Segoe UI"/>
      <w:sz w:val="18"/>
      <w:szCs w:val="18"/>
    </w:rPr>
  </w:style>
  <w:style w:type="character" w:customStyle="1" w:styleId="KontaktadresseKSLZchn">
    <w:name w:val="Kontaktadresse KSL Zchn"/>
    <w:basedOn w:val="EinfacherAbsatzZchn"/>
    <w:link w:val="KontaktadresseKSL"/>
    <w:rsid w:val="00D5010C"/>
    <w:rPr>
      <w:rFonts w:ascii="Arial" w:hAnsi="Arial" w:cs="Arial"/>
      <w:color w:val="003E90"/>
      <w:sz w:val="24"/>
      <w:szCs w:val="24"/>
    </w:rPr>
  </w:style>
  <w:style w:type="character" w:customStyle="1" w:styleId="SprechblasentextZchn">
    <w:name w:val="Sprechblasentext Zchn"/>
    <w:basedOn w:val="Absatz-Standardschriftart"/>
    <w:link w:val="Sprechblasentext"/>
    <w:uiPriority w:val="99"/>
    <w:semiHidden/>
    <w:rsid w:val="009E3493"/>
    <w:rPr>
      <w:rFonts w:ascii="Segoe UI" w:hAnsi="Segoe UI" w:cs="Segoe UI"/>
      <w:sz w:val="18"/>
      <w:szCs w:val="18"/>
    </w:rPr>
  </w:style>
  <w:style w:type="paragraph" w:customStyle="1" w:styleId="FuzeileAdresse">
    <w:name w:val="Fußzeile Adresse"/>
    <w:link w:val="FuzeileAdresseZchn"/>
    <w:qFormat/>
    <w:rsid w:val="0034188F"/>
    <w:pPr>
      <w:spacing w:after="0" w:line="360" w:lineRule="exact"/>
    </w:pPr>
    <w:rPr>
      <w:rFonts w:ascii="Arial" w:hAnsi="Arial" w:cs="Arial"/>
      <w:color w:val="003E90"/>
      <w:sz w:val="20"/>
      <w:szCs w:val="20"/>
    </w:rPr>
  </w:style>
  <w:style w:type="character" w:customStyle="1" w:styleId="FuzeileAdresseZchn">
    <w:name w:val="Fußzeile Adresse Zchn"/>
    <w:basedOn w:val="Absatz-Standardschriftart"/>
    <w:link w:val="FuzeileAdresse"/>
    <w:rsid w:val="0034188F"/>
    <w:rPr>
      <w:rFonts w:ascii="Arial" w:hAnsi="Arial" w:cs="Arial"/>
      <w:color w:val="003E90"/>
      <w:sz w:val="20"/>
      <w:szCs w:val="20"/>
    </w:rPr>
  </w:style>
  <w:style w:type="table" w:styleId="Tabellenraster">
    <w:name w:val="Table Grid"/>
    <w:basedOn w:val="NormaleTabelle"/>
    <w:uiPriority w:val="39"/>
    <w:locked/>
    <w:rsid w:val="00DE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21">
    <w:name w:val="Einfache Tabelle 21"/>
    <w:basedOn w:val="NormaleTabelle"/>
    <w:uiPriority w:val="42"/>
    <w:locked/>
    <w:rsid w:val="00FF51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emithellemGitternetz1">
    <w:name w:val="Tabelle mit hellem Gitternetz1"/>
    <w:basedOn w:val="NormaleTabelle"/>
    <w:uiPriority w:val="40"/>
    <w:locked/>
    <w:rsid w:val="00FF51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eTabelle11">
    <w:name w:val="Einfache Tabelle 11"/>
    <w:basedOn w:val="NormaleTabelle"/>
    <w:uiPriority w:val="41"/>
    <w:locked/>
    <w:rsid w:val="00FF51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31">
    <w:name w:val="Einfache Tabelle 31"/>
    <w:basedOn w:val="NormaleTabelle"/>
    <w:uiPriority w:val="43"/>
    <w:locked/>
    <w:rsid w:val="00FF51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NormaleTabelle"/>
    <w:uiPriority w:val="44"/>
    <w:locked/>
    <w:rsid w:val="00FF51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NormaleTabelle"/>
    <w:uiPriority w:val="45"/>
    <w:locked/>
    <w:rsid w:val="00FF51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1hellAkzent61">
    <w:name w:val="Listentabelle 1 hell  – Akzent 61"/>
    <w:basedOn w:val="NormaleTabelle"/>
    <w:uiPriority w:val="46"/>
    <w:locked/>
    <w:rsid w:val="00FF51C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1hellAkzent21">
    <w:name w:val="Listentabelle 1 hell  – Akzent 21"/>
    <w:basedOn w:val="NormaleTabelle"/>
    <w:uiPriority w:val="46"/>
    <w:locked/>
    <w:rsid w:val="00FF51C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entabelle1hellAkzent31">
    <w:name w:val="Listentabelle 1 hell  – Akzent 31"/>
    <w:basedOn w:val="NormaleTabelle"/>
    <w:uiPriority w:val="46"/>
    <w:locked/>
    <w:rsid w:val="00FF51C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ntabelle1hellAkzent41">
    <w:name w:val="Listentabelle 1 hell  – Akzent 41"/>
    <w:basedOn w:val="NormaleTabelle"/>
    <w:uiPriority w:val="46"/>
    <w:locked/>
    <w:rsid w:val="00FF51C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51">
    <w:name w:val="Listentabelle 1 hell  – Akzent 51"/>
    <w:basedOn w:val="NormaleTabelle"/>
    <w:uiPriority w:val="46"/>
    <w:locked/>
    <w:rsid w:val="00FF51CB"/>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Formatvorlage1">
    <w:name w:val="Formatvorlage1"/>
    <w:basedOn w:val="NormaleTabelle"/>
    <w:uiPriority w:val="99"/>
    <w:locked/>
    <w:rsid w:val="00FA1700"/>
    <w:pPr>
      <w:spacing w:after="0" w:line="240" w:lineRule="auto"/>
    </w:pPr>
    <w:tblPr/>
  </w:style>
  <w:style w:type="paragraph" w:customStyle="1" w:styleId="Rcksendeadresse">
    <w:name w:val="Rücksendeadresse"/>
    <w:basedOn w:val="Standard"/>
    <w:link w:val="RcksendeadresseZchn"/>
    <w:qFormat/>
    <w:rsid w:val="00283D9C"/>
    <w:pPr>
      <w:framePr w:hSpace="141" w:wrap="around" w:vAnchor="page" w:hAnchor="margin" w:y="2836"/>
      <w:spacing w:before="140" w:after="0" w:line="240" w:lineRule="auto"/>
    </w:pPr>
    <w:rPr>
      <w:rFonts w:ascii="Arial" w:hAnsi="Arial" w:cs="Arial"/>
      <w:b/>
      <w:color w:val="003E90"/>
      <w:sz w:val="14"/>
      <w:szCs w:val="14"/>
    </w:rPr>
  </w:style>
  <w:style w:type="paragraph" w:customStyle="1" w:styleId="Brieffenster">
    <w:name w:val="Brieffenster"/>
    <w:basedOn w:val="12ptFlietextKSL"/>
    <w:link w:val="BrieffensterZchn"/>
    <w:qFormat/>
    <w:rsid w:val="00615BB8"/>
    <w:pPr>
      <w:framePr w:hSpace="141" w:wrap="around" w:vAnchor="page" w:hAnchor="margin" w:y="2836"/>
      <w:spacing w:line="276" w:lineRule="auto"/>
    </w:pPr>
    <w:rPr>
      <w:lang w:val="de-DE"/>
    </w:rPr>
  </w:style>
  <w:style w:type="character" w:customStyle="1" w:styleId="RcksendeadresseZchn">
    <w:name w:val="Rücksendeadresse Zchn"/>
    <w:basedOn w:val="Absatz-Standardschriftart"/>
    <w:link w:val="Rcksendeadresse"/>
    <w:rsid w:val="00283D9C"/>
    <w:rPr>
      <w:rFonts w:ascii="Arial" w:hAnsi="Arial" w:cs="Arial"/>
      <w:b/>
      <w:color w:val="003E90"/>
      <w:sz w:val="14"/>
      <w:szCs w:val="14"/>
    </w:rPr>
  </w:style>
  <w:style w:type="character" w:customStyle="1" w:styleId="BrieffensterZchn">
    <w:name w:val="Brieffenster Zchn"/>
    <w:basedOn w:val="12ptFlietextKSLZchn"/>
    <w:link w:val="Brieffenster"/>
    <w:rsid w:val="00615BB8"/>
    <w:rPr>
      <w:rFonts w:ascii="Arial" w:hAnsi="Arial" w:cs="Arial"/>
      <w:color w:val="000000"/>
      <w:sz w:val="24"/>
      <w:szCs w:val="24"/>
      <w:lang w:val="en-US"/>
    </w:rPr>
  </w:style>
  <w:style w:type="character" w:styleId="BesuchterLink">
    <w:name w:val="FollowedHyperlink"/>
    <w:basedOn w:val="Absatz-Standardschriftart"/>
    <w:uiPriority w:val="99"/>
    <w:semiHidden/>
    <w:unhideWhenUsed/>
    <w:locked/>
    <w:rsid w:val="00164102"/>
    <w:rPr>
      <w:color w:val="954F72" w:themeColor="followedHyperlink"/>
      <w:u w:val="single"/>
    </w:rPr>
  </w:style>
  <w:style w:type="paragraph" w:customStyle="1" w:styleId="DatumKSL">
    <w:name w:val="Datum KSL"/>
    <w:basedOn w:val="KontaktadresseKSL"/>
    <w:link w:val="DatumKSLZchn"/>
    <w:qFormat/>
    <w:rsid w:val="00E77781"/>
    <w:pPr>
      <w:framePr w:hSpace="142" w:wrap="around" w:vAnchor="page" w:hAnchor="margin" w:y="2553"/>
    </w:pPr>
    <w:rPr>
      <w:b/>
      <w:noProof/>
    </w:rPr>
  </w:style>
  <w:style w:type="paragraph" w:customStyle="1" w:styleId="12ptBetreffKSL">
    <w:name w:val="12 pt Betreff KSL"/>
    <w:basedOn w:val="12ptFlietextKSL"/>
    <w:next w:val="12ptFlietextKSL"/>
    <w:link w:val="12ptBetreffKSLZchn"/>
    <w:qFormat/>
    <w:rsid w:val="00E77781"/>
    <w:rPr>
      <w:b/>
      <w:lang w:val="de-DE"/>
    </w:rPr>
  </w:style>
  <w:style w:type="character" w:customStyle="1" w:styleId="DatumKSLZchn">
    <w:name w:val="Datum KSL Zchn"/>
    <w:basedOn w:val="KontaktadresseKSLZchn"/>
    <w:link w:val="DatumKSL"/>
    <w:rsid w:val="00E77781"/>
    <w:rPr>
      <w:rFonts w:ascii="Arial" w:hAnsi="Arial" w:cs="Arial"/>
      <w:b/>
      <w:noProof/>
      <w:color w:val="003E90"/>
      <w:sz w:val="24"/>
      <w:szCs w:val="24"/>
    </w:rPr>
  </w:style>
  <w:style w:type="paragraph" w:customStyle="1" w:styleId="FuzeileName">
    <w:name w:val="Fußzeile Name"/>
    <w:basedOn w:val="FuzeileAdresse"/>
    <w:link w:val="FuzeileNameZchn"/>
    <w:qFormat/>
    <w:rsid w:val="00E77781"/>
    <w:pPr>
      <w:spacing w:line="280" w:lineRule="exact"/>
    </w:pPr>
    <w:rPr>
      <w:b/>
    </w:rPr>
  </w:style>
  <w:style w:type="character" w:customStyle="1" w:styleId="12ptBetreffKSLZchn">
    <w:name w:val="12 pt Betreff KSL Zchn"/>
    <w:basedOn w:val="12ptFlietextKSLZchn"/>
    <w:link w:val="12ptBetreffKSL"/>
    <w:rsid w:val="00E77781"/>
    <w:rPr>
      <w:rFonts w:ascii="Arial" w:hAnsi="Arial" w:cs="Arial"/>
      <w:b/>
      <w:color w:val="000000"/>
      <w:sz w:val="24"/>
      <w:szCs w:val="24"/>
      <w:lang w:val="en-US"/>
    </w:rPr>
  </w:style>
  <w:style w:type="paragraph" w:customStyle="1" w:styleId="Punkt">
    <w:name w:val="Punkt"/>
    <w:basedOn w:val="FuzeileAdresse"/>
    <w:link w:val="PunktZchn"/>
    <w:qFormat/>
    <w:rsid w:val="00E77781"/>
    <w:rPr>
      <w:color w:val="8C0074"/>
    </w:rPr>
  </w:style>
  <w:style w:type="character" w:customStyle="1" w:styleId="FuzeileNameZchn">
    <w:name w:val="Fußzeile Name Zchn"/>
    <w:basedOn w:val="FuzeileAdresseZchn"/>
    <w:link w:val="FuzeileName"/>
    <w:rsid w:val="00E77781"/>
    <w:rPr>
      <w:rFonts w:ascii="Arial" w:hAnsi="Arial" w:cs="Arial"/>
      <w:b/>
      <w:color w:val="003E90"/>
      <w:sz w:val="20"/>
      <w:szCs w:val="20"/>
    </w:rPr>
  </w:style>
  <w:style w:type="character" w:customStyle="1" w:styleId="PunktZchn">
    <w:name w:val="Punkt Zchn"/>
    <w:basedOn w:val="FuzeileAdresseZchn"/>
    <w:link w:val="Punkt"/>
    <w:rsid w:val="00E77781"/>
    <w:rPr>
      <w:rFonts w:ascii="Arial" w:hAnsi="Arial" w:cs="Arial"/>
      <w:color w:val="8C0074"/>
      <w:sz w:val="20"/>
      <w:szCs w:val="20"/>
    </w:rPr>
  </w:style>
  <w:style w:type="paragraph" w:customStyle="1" w:styleId="SeitenzahlKSL">
    <w:name w:val="Seitenzahl KSL"/>
    <w:basedOn w:val="KontaktadresseKSL"/>
    <w:link w:val="SeitenzahlKSLZchn"/>
    <w:qFormat/>
    <w:rsid w:val="00495700"/>
    <w:pPr>
      <w:jc w:val="right"/>
    </w:pPr>
  </w:style>
  <w:style w:type="character" w:customStyle="1" w:styleId="SeitenzahlKSLZchn">
    <w:name w:val="Seitenzahl KSL Zchn"/>
    <w:basedOn w:val="KontaktadresseKSLZchn"/>
    <w:link w:val="SeitenzahlKSL"/>
    <w:rsid w:val="00495700"/>
    <w:rPr>
      <w:rFonts w:ascii="Arial" w:hAnsi="Arial" w:cs="Arial"/>
      <w:color w:val="003E90"/>
      <w:sz w:val="24"/>
      <w:szCs w:val="24"/>
    </w:rPr>
  </w:style>
  <w:style w:type="paragraph" w:customStyle="1" w:styleId="16ptFlietextKSL">
    <w:name w:val="16 pt Fließtext KSL"/>
    <w:basedOn w:val="12ptFlietextKSL"/>
    <w:link w:val="16ptFlietextKSLZchn"/>
    <w:qFormat/>
    <w:rsid w:val="006A5790"/>
    <w:pPr>
      <w:spacing w:line="484" w:lineRule="exact"/>
    </w:pPr>
    <w:rPr>
      <w:sz w:val="32"/>
    </w:rPr>
  </w:style>
  <w:style w:type="paragraph" w:customStyle="1" w:styleId="16ptBetreffKSL">
    <w:name w:val="16pt Betreff KSL"/>
    <w:basedOn w:val="16ptFlietextKSL"/>
    <w:next w:val="16ptFlietextKSL"/>
    <w:link w:val="16ptBetreffKSLZchn"/>
    <w:qFormat/>
    <w:rsid w:val="006A5790"/>
    <w:rPr>
      <w:b/>
    </w:rPr>
  </w:style>
  <w:style w:type="character" w:customStyle="1" w:styleId="16ptFlietextKSLZchn">
    <w:name w:val="16 pt Fließtext KSL Zchn"/>
    <w:basedOn w:val="12ptFlietextKSLZchn"/>
    <w:link w:val="16ptFlietextKSL"/>
    <w:rsid w:val="006A5790"/>
    <w:rPr>
      <w:rFonts w:ascii="Arial" w:hAnsi="Arial" w:cs="Arial"/>
      <w:color w:val="000000"/>
      <w:sz w:val="32"/>
      <w:szCs w:val="24"/>
      <w:lang w:val="en-US"/>
    </w:rPr>
  </w:style>
  <w:style w:type="character" w:customStyle="1" w:styleId="16ptBetreffKSLZchn">
    <w:name w:val="16pt Betreff KSL Zchn"/>
    <w:basedOn w:val="12ptBetreffKSLZchn"/>
    <w:link w:val="16ptBetreffKSL"/>
    <w:rsid w:val="006A5790"/>
    <w:rPr>
      <w:rFonts w:ascii="Arial" w:hAnsi="Arial" w:cs="Arial"/>
      <w:b/>
      <w:color w:val="000000"/>
      <w:sz w:val="32"/>
      <w:szCs w:val="24"/>
      <w:lang w:val="en-US"/>
    </w:rPr>
  </w:style>
  <w:style w:type="paragraph" w:styleId="Listenabsatz">
    <w:name w:val="List Paragraph"/>
    <w:basedOn w:val="Standard"/>
    <w:uiPriority w:val="34"/>
    <w:locked/>
    <w:rsid w:val="002632ED"/>
    <w:pPr>
      <w:ind w:left="720"/>
      <w:contextualSpacing/>
    </w:pPr>
  </w:style>
  <w:style w:type="character" w:styleId="Fett">
    <w:name w:val="Strong"/>
    <w:basedOn w:val="Absatz-Standardschriftart"/>
    <w:uiPriority w:val="22"/>
    <w:qFormat/>
    <w:locked/>
    <w:rsid w:val="002F24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82569">
      <w:bodyDiv w:val="1"/>
      <w:marLeft w:val="0"/>
      <w:marRight w:val="0"/>
      <w:marTop w:val="0"/>
      <w:marBottom w:val="0"/>
      <w:divBdr>
        <w:top w:val="none" w:sz="0" w:space="0" w:color="auto"/>
        <w:left w:val="none" w:sz="0" w:space="0" w:color="auto"/>
        <w:bottom w:val="none" w:sz="0" w:space="0" w:color="auto"/>
        <w:right w:val="none" w:sz="0" w:space="0" w:color="auto"/>
      </w:divBdr>
    </w:div>
    <w:div w:id="763574565">
      <w:bodyDiv w:val="1"/>
      <w:marLeft w:val="0"/>
      <w:marRight w:val="0"/>
      <w:marTop w:val="0"/>
      <w:marBottom w:val="0"/>
      <w:divBdr>
        <w:top w:val="none" w:sz="0" w:space="0" w:color="auto"/>
        <w:left w:val="none" w:sz="0" w:space="0" w:color="auto"/>
        <w:bottom w:val="none" w:sz="0" w:space="0" w:color="auto"/>
        <w:right w:val="none" w:sz="0" w:space="0" w:color="auto"/>
      </w:divBdr>
    </w:div>
    <w:div w:id="1508061322">
      <w:bodyDiv w:val="1"/>
      <w:marLeft w:val="0"/>
      <w:marRight w:val="0"/>
      <w:marTop w:val="0"/>
      <w:marBottom w:val="0"/>
      <w:divBdr>
        <w:top w:val="none" w:sz="0" w:space="0" w:color="auto"/>
        <w:left w:val="none" w:sz="0" w:space="0" w:color="auto"/>
        <w:bottom w:val="none" w:sz="0" w:space="0" w:color="auto"/>
        <w:right w:val="none" w:sz="0" w:space="0" w:color="auto"/>
      </w:divBdr>
    </w:div>
    <w:div w:id="1911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aforum.de/recht-gesetz/lehrer-an-schule-fuer-hoergeschaedigte-beherrschen-keine-gebaerdensprache-620733" TargetMode="External"/><Relationship Id="rId13" Type="http://schemas.openxmlformats.org/officeDocument/2006/relationships/hyperlink" Target="https://www.hf.uni-koeln.de/3823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alhoer.de/schule/bilinguales-lernen/bilingualer-deutschunterrich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bzeit.de/uber-u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estner.de/n/verschiedenes/presse/2011/bgk-positionspapier.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youtube.com/watch?v=tCvhtGXrj4Q" TargetMode="External"/><Relationship Id="rId14" Type="http://schemas.openxmlformats.org/officeDocument/2006/relationships/hyperlink" Target="https://www.dfgs.org/"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9A0C1-858B-4399-8C21-E1FE2EBA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8214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dc:creator>
  <cp:lastModifiedBy>Drewke, Melanie</cp:lastModifiedBy>
  <cp:revision>5</cp:revision>
  <cp:lastPrinted>2018-05-09T06:57:00Z</cp:lastPrinted>
  <dcterms:created xsi:type="dcterms:W3CDTF">2018-05-08T10:17:00Z</dcterms:created>
  <dcterms:modified xsi:type="dcterms:W3CDTF">2018-05-09T06:59:00Z</dcterms:modified>
</cp:coreProperties>
</file>